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EC" w:rsidRDefault="00C95615" w:rsidP="00C26521">
      <w:pPr>
        <w:spacing w:after="0"/>
        <w:jc w:val="center"/>
        <w:rPr>
          <w:b/>
          <w:sz w:val="56"/>
          <w:szCs w:val="56"/>
        </w:rPr>
      </w:pPr>
      <w:r>
        <w:rPr>
          <w:b/>
          <w:sz w:val="56"/>
          <w:szCs w:val="56"/>
        </w:rPr>
        <w:t xml:space="preserve">  </w:t>
      </w:r>
      <w:r w:rsidR="00703A3A">
        <w:rPr>
          <w:b/>
          <w:sz w:val="56"/>
          <w:szCs w:val="56"/>
        </w:rPr>
        <w:t xml:space="preserve"> </w:t>
      </w:r>
      <w:r w:rsidR="000921FD" w:rsidRPr="00C26521">
        <w:rPr>
          <w:b/>
          <w:sz w:val="56"/>
          <w:szCs w:val="56"/>
        </w:rPr>
        <w:t>Horizons</w:t>
      </w:r>
      <w:r w:rsidR="00C26521">
        <w:rPr>
          <w:b/>
          <w:sz w:val="56"/>
          <w:szCs w:val="56"/>
        </w:rPr>
        <w:t xml:space="preserve"> Education Centre</w:t>
      </w:r>
    </w:p>
    <w:p w:rsidR="000921FD" w:rsidRPr="00C26521" w:rsidRDefault="00E238CC" w:rsidP="00C26521">
      <w:pPr>
        <w:spacing w:after="0"/>
        <w:jc w:val="center"/>
        <w:rPr>
          <w:sz w:val="36"/>
          <w:szCs w:val="36"/>
        </w:rPr>
      </w:pPr>
      <w:r>
        <w:rPr>
          <w:sz w:val="36"/>
          <w:szCs w:val="36"/>
        </w:rPr>
        <w:t xml:space="preserve"> </w:t>
      </w:r>
      <w:r w:rsidR="00C30E8E">
        <w:rPr>
          <w:sz w:val="36"/>
          <w:szCs w:val="36"/>
        </w:rPr>
        <w:t>‘A Guide’</w:t>
      </w:r>
    </w:p>
    <w:p w:rsidR="00C26521" w:rsidRDefault="00C26521" w:rsidP="00C26521">
      <w:pPr>
        <w:spacing w:after="0"/>
        <w:jc w:val="both"/>
        <w:rPr>
          <w:b/>
          <w:sz w:val="28"/>
          <w:szCs w:val="28"/>
        </w:rPr>
      </w:pPr>
    </w:p>
    <w:p w:rsidR="000921FD" w:rsidRPr="00BC3F56" w:rsidRDefault="000921FD" w:rsidP="00C95615">
      <w:pPr>
        <w:tabs>
          <w:tab w:val="center" w:pos="5233"/>
        </w:tabs>
        <w:spacing w:after="0"/>
        <w:jc w:val="both"/>
        <w:rPr>
          <w:b/>
          <w:sz w:val="28"/>
          <w:szCs w:val="28"/>
        </w:rPr>
      </w:pPr>
      <w:r w:rsidRPr="00BC3F56">
        <w:rPr>
          <w:b/>
          <w:sz w:val="28"/>
          <w:szCs w:val="28"/>
        </w:rPr>
        <w:t>Vision:</w:t>
      </w:r>
      <w:r w:rsidR="00C95615">
        <w:rPr>
          <w:b/>
          <w:sz w:val="28"/>
          <w:szCs w:val="28"/>
        </w:rPr>
        <w:tab/>
      </w:r>
    </w:p>
    <w:p w:rsidR="000921FD" w:rsidRDefault="006533DE" w:rsidP="00C26521">
      <w:pPr>
        <w:spacing w:after="0"/>
        <w:jc w:val="both"/>
      </w:pPr>
      <w:r>
        <w:t>To provide</w:t>
      </w:r>
      <w:r w:rsidR="000921FD">
        <w:t xml:space="preserve"> education</w:t>
      </w:r>
      <w:r>
        <w:t xml:space="preserve"> </w:t>
      </w:r>
      <w:r w:rsidR="000B1783">
        <w:t xml:space="preserve">that addresses the needs of learners who have found success in mainstream difficult and </w:t>
      </w:r>
      <w:r w:rsidR="00B270B6">
        <w:t>engages</w:t>
      </w:r>
      <w:r w:rsidR="000B1783">
        <w:t xml:space="preserve"> them </w:t>
      </w:r>
      <w:r w:rsidR="001F62A4">
        <w:t>to</w:t>
      </w:r>
      <w:r w:rsidR="00B270B6">
        <w:t>wards</w:t>
      </w:r>
      <w:r w:rsidR="001F62A4">
        <w:t xml:space="preserve"> achieve</w:t>
      </w:r>
      <w:r w:rsidR="00B270B6">
        <w:t>ment</w:t>
      </w:r>
      <w:r w:rsidR="001F62A4">
        <w:t xml:space="preserve"> </w:t>
      </w:r>
      <w:r w:rsidR="00205F44">
        <w:t xml:space="preserve">and </w:t>
      </w:r>
      <w:r w:rsidR="00B270B6">
        <w:t>readiness</w:t>
      </w:r>
      <w:r w:rsidR="00205F44">
        <w:t xml:space="preserve"> for the world of work.</w:t>
      </w:r>
    </w:p>
    <w:p w:rsidR="00C26521" w:rsidRDefault="00C26521" w:rsidP="00C26521">
      <w:pPr>
        <w:spacing w:after="0"/>
        <w:jc w:val="both"/>
        <w:rPr>
          <w:b/>
          <w:sz w:val="28"/>
          <w:szCs w:val="28"/>
        </w:rPr>
      </w:pPr>
    </w:p>
    <w:p w:rsidR="000B1783" w:rsidRPr="00BC3F56" w:rsidRDefault="0027714E" w:rsidP="00C26521">
      <w:pPr>
        <w:spacing w:after="0"/>
        <w:jc w:val="both"/>
        <w:rPr>
          <w:b/>
          <w:sz w:val="28"/>
          <w:szCs w:val="28"/>
        </w:rPr>
      </w:pPr>
      <w:r>
        <w:rPr>
          <w:b/>
          <w:sz w:val="28"/>
          <w:szCs w:val="28"/>
        </w:rPr>
        <w:t>Aims &amp; Outcomes</w:t>
      </w:r>
    </w:p>
    <w:p w:rsidR="007E3806" w:rsidRDefault="000B1783" w:rsidP="00C26521">
      <w:pPr>
        <w:spacing w:after="0"/>
        <w:jc w:val="both"/>
      </w:pPr>
      <w:r>
        <w:t>Horizons Education Centre aims</w:t>
      </w:r>
      <w:r w:rsidR="00205F44">
        <w:t xml:space="preserve"> to offer</w:t>
      </w:r>
      <w:r>
        <w:t xml:space="preserve"> learners </w:t>
      </w:r>
      <w:r w:rsidR="00205F44">
        <w:t xml:space="preserve">a route to </w:t>
      </w:r>
      <w:r>
        <w:t xml:space="preserve">the best educational opportunities </w:t>
      </w:r>
      <w:r w:rsidR="00205F44">
        <w:t>available to them</w:t>
      </w:r>
      <w:r w:rsidR="00330E48">
        <w:t>. The outcomes we aim for:</w:t>
      </w:r>
    </w:p>
    <w:p w:rsidR="00466AC4" w:rsidRPr="00F51EEA" w:rsidRDefault="00E93727" w:rsidP="00330E48">
      <w:pPr>
        <w:numPr>
          <w:ilvl w:val="0"/>
          <w:numId w:val="11"/>
        </w:numPr>
        <w:spacing w:before="100" w:beforeAutospacing="1" w:after="100" w:afterAutospacing="1" w:line="240" w:lineRule="auto"/>
        <w:jc w:val="both"/>
        <w:rPr>
          <w:rFonts w:cs="Arial"/>
          <w:lang w:eastAsia="en-GB"/>
        </w:rPr>
      </w:pPr>
      <w:r>
        <w:rPr>
          <w:rFonts w:cs="Arial"/>
          <w:lang w:eastAsia="en-GB"/>
        </w:rPr>
        <w:t>P</w:t>
      </w:r>
      <w:r w:rsidR="00466AC4" w:rsidRPr="00F51EEA">
        <w:rPr>
          <w:rFonts w:cs="Arial"/>
          <w:lang w:eastAsia="en-GB"/>
        </w:rPr>
        <w:t xml:space="preserve">rovide appropriate education that meets pupils’ educational needs, their personal and social development needs, as well as support their successful transition </w:t>
      </w:r>
      <w:r w:rsidR="0027714E">
        <w:rPr>
          <w:rFonts w:cs="Arial"/>
          <w:lang w:eastAsia="en-GB"/>
        </w:rPr>
        <w:t xml:space="preserve">back </w:t>
      </w:r>
      <w:r w:rsidR="00466AC4" w:rsidRPr="00F51EEA">
        <w:rPr>
          <w:rFonts w:cs="Arial"/>
          <w:lang w:eastAsia="en-GB"/>
        </w:rPr>
        <w:t xml:space="preserve">into mainstream school, adult life and, in particular, the </w:t>
      </w:r>
      <w:r w:rsidR="00466AC4" w:rsidRPr="0013646C">
        <w:rPr>
          <w:rFonts w:cs="Arial"/>
          <w:lang w:eastAsia="en-GB"/>
        </w:rPr>
        <w:t>take up of further education, training or employment on leaving full time education</w:t>
      </w:r>
    </w:p>
    <w:p w:rsidR="00466AC4" w:rsidRPr="000F02C3" w:rsidRDefault="00E93727" w:rsidP="00330E48">
      <w:pPr>
        <w:numPr>
          <w:ilvl w:val="0"/>
          <w:numId w:val="11"/>
        </w:numPr>
        <w:spacing w:before="100" w:beforeAutospacing="1" w:after="100" w:afterAutospacing="1" w:line="240" w:lineRule="auto"/>
        <w:jc w:val="both"/>
        <w:rPr>
          <w:rFonts w:cs="Arial"/>
          <w:color w:val="FF0000"/>
          <w:lang w:eastAsia="en-GB"/>
        </w:rPr>
      </w:pPr>
      <w:r>
        <w:rPr>
          <w:rFonts w:cs="Arial"/>
          <w:lang w:eastAsia="en-GB"/>
        </w:rPr>
        <w:t>P</w:t>
      </w:r>
      <w:r w:rsidR="00466AC4" w:rsidRPr="00F51EEA">
        <w:rPr>
          <w:rFonts w:cs="Arial"/>
          <w:lang w:eastAsia="en-GB"/>
        </w:rPr>
        <w:t xml:space="preserve">rovide </w:t>
      </w:r>
      <w:r w:rsidR="00466AC4" w:rsidRPr="0013646C">
        <w:rPr>
          <w:rFonts w:cs="Arial"/>
          <w:lang w:eastAsia="en-GB"/>
        </w:rPr>
        <w:t xml:space="preserve">appropriate individualised programmes to meet learners’ special educational needs and </w:t>
      </w:r>
      <w:r w:rsidR="00466AC4" w:rsidRPr="0013646C">
        <w:rPr>
          <w:rFonts w:eastAsia="Times New Roman"/>
        </w:rPr>
        <w:t xml:space="preserve">enables them to achieve </w:t>
      </w:r>
      <w:r w:rsidR="003105B5">
        <w:rPr>
          <w:rFonts w:eastAsia="Times New Roman"/>
        </w:rPr>
        <w:t>whatever their ability.</w:t>
      </w:r>
    </w:p>
    <w:p w:rsidR="00466AC4" w:rsidRPr="0013646C" w:rsidRDefault="00466AC4" w:rsidP="00330E48">
      <w:pPr>
        <w:numPr>
          <w:ilvl w:val="0"/>
          <w:numId w:val="11"/>
        </w:numPr>
        <w:spacing w:before="100" w:beforeAutospacing="1" w:after="100" w:afterAutospacing="1" w:line="240" w:lineRule="auto"/>
        <w:jc w:val="both"/>
        <w:rPr>
          <w:rFonts w:cs="Arial"/>
          <w:lang w:eastAsia="en-GB"/>
        </w:rPr>
      </w:pPr>
      <w:r w:rsidRPr="0013646C">
        <w:rPr>
          <w:rFonts w:cs="Arial"/>
          <w:lang w:eastAsia="en-GB"/>
        </w:rPr>
        <w:t>Improve attendance at school</w:t>
      </w:r>
    </w:p>
    <w:p w:rsidR="00466AC4" w:rsidRPr="0013646C" w:rsidRDefault="00E93727" w:rsidP="00330E48">
      <w:pPr>
        <w:numPr>
          <w:ilvl w:val="0"/>
          <w:numId w:val="11"/>
        </w:numPr>
        <w:spacing w:before="100" w:beforeAutospacing="1" w:after="100" w:afterAutospacing="1" w:line="240" w:lineRule="auto"/>
        <w:jc w:val="both"/>
        <w:rPr>
          <w:rFonts w:cs="Arial"/>
          <w:lang w:eastAsia="en-GB"/>
        </w:rPr>
      </w:pPr>
      <w:r>
        <w:rPr>
          <w:rFonts w:cs="Arial"/>
          <w:lang w:eastAsia="en-GB"/>
        </w:rPr>
        <w:t>I</w:t>
      </w:r>
      <w:r w:rsidR="00466AC4" w:rsidRPr="0013646C">
        <w:rPr>
          <w:rFonts w:cs="Arial"/>
          <w:lang w:eastAsia="en-GB"/>
        </w:rPr>
        <w:t>mprove engagement in learning, encourage and make available access to a continuation of education and training</w:t>
      </w:r>
    </w:p>
    <w:p w:rsidR="006058E6" w:rsidRDefault="00E93727" w:rsidP="006058E6">
      <w:pPr>
        <w:numPr>
          <w:ilvl w:val="0"/>
          <w:numId w:val="11"/>
        </w:numPr>
        <w:spacing w:before="100" w:beforeAutospacing="1" w:after="100" w:afterAutospacing="1" w:line="240" w:lineRule="auto"/>
        <w:jc w:val="both"/>
        <w:rPr>
          <w:rFonts w:cs="Arial"/>
          <w:lang w:eastAsia="en-GB"/>
        </w:rPr>
      </w:pPr>
      <w:r>
        <w:rPr>
          <w:rFonts w:cs="Arial"/>
          <w:lang w:eastAsia="en-GB"/>
        </w:rPr>
        <w:t>I</w:t>
      </w:r>
      <w:r w:rsidR="00466AC4" w:rsidRPr="0013646C">
        <w:rPr>
          <w:rFonts w:cs="Arial"/>
          <w:lang w:eastAsia="en-GB"/>
        </w:rPr>
        <w:t>ncrease self-confidence, motivation</w:t>
      </w:r>
      <w:r w:rsidR="00466AC4" w:rsidRPr="00F51EEA">
        <w:rPr>
          <w:rFonts w:cs="Arial"/>
          <w:lang w:eastAsia="en-GB"/>
        </w:rPr>
        <w:t>, self-esteem</w:t>
      </w:r>
      <w:r>
        <w:rPr>
          <w:rFonts w:cs="Arial"/>
          <w:lang w:eastAsia="en-GB"/>
        </w:rPr>
        <w:t>, improved</w:t>
      </w:r>
      <w:r w:rsidR="00466AC4" w:rsidRPr="00F51EEA">
        <w:rPr>
          <w:rFonts w:cs="Arial"/>
          <w:lang w:eastAsia="en-GB"/>
        </w:rPr>
        <w:t xml:space="preserve"> employability skills and life and social skills</w:t>
      </w:r>
      <w:r w:rsidR="00330E48">
        <w:rPr>
          <w:rFonts w:cs="Arial"/>
          <w:lang w:eastAsia="en-GB"/>
        </w:rPr>
        <w:t>.</w:t>
      </w:r>
    </w:p>
    <w:p w:rsidR="006058E6" w:rsidRDefault="00E93727" w:rsidP="006058E6">
      <w:pPr>
        <w:numPr>
          <w:ilvl w:val="0"/>
          <w:numId w:val="11"/>
        </w:numPr>
        <w:spacing w:before="100" w:beforeAutospacing="1" w:after="100" w:afterAutospacing="1" w:line="240" w:lineRule="auto"/>
        <w:jc w:val="both"/>
        <w:rPr>
          <w:rFonts w:cs="Arial"/>
          <w:lang w:eastAsia="en-GB"/>
        </w:rPr>
      </w:pPr>
      <w:r w:rsidRPr="006058E6">
        <w:rPr>
          <w:rFonts w:cs="Arial"/>
          <w:lang w:eastAsia="en-GB"/>
        </w:rPr>
        <w:t>E</w:t>
      </w:r>
      <w:r w:rsidR="00466AC4" w:rsidRPr="006058E6">
        <w:rPr>
          <w:rFonts w:cs="Arial"/>
          <w:lang w:eastAsia="en-GB"/>
        </w:rPr>
        <w:t xml:space="preserve">nsure learners </w:t>
      </w:r>
      <w:r w:rsidR="003105B5">
        <w:rPr>
          <w:rFonts w:cs="Arial"/>
          <w:lang w:eastAsia="en-GB"/>
        </w:rPr>
        <w:t xml:space="preserve">have the best chances to </w:t>
      </w:r>
      <w:r w:rsidR="00466AC4" w:rsidRPr="006058E6">
        <w:rPr>
          <w:rFonts w:cs="Arial"/>
          <w:lang w:eastAsia="en-GB"/>
        </w:rPr>
        <w:t>achieve GCSE and other qualifications</w:t>
      </w:r>
      <w:r w:rsidR="00330E48" w:rsidRPr="006058E6">
        <w:rPr>
          <w:rFonts w:cs="Arial"/>
          <w:lang w:eastAsia="en-GB"/>
        </w:rPr>
        <w:t xml:space="preserve"> and awards </w:t>
      </w:r>
      <w:r w:rsidR="00466AC4" w:rsidRPr="006058E6">
        <w:rPr>
          <w:rFonts w:cs="Arial"/>
          <w:lang w:eastAsia="en-GB"/>
        </w:rPr>
        <w:t>that enable them to progress to post 16 learning and train</w:t>
      </w:r>
      <w:r w:rsidR="00330E48" w:rsidRPr="006058E6">
        <w:rPr>
          <w:rFonts w:cs="Arial"/>
          <w:lang w:eastAsia="en-GB"/>
        </w:rPr>
        <w:t>ing</w:t>
      </w:r>
    </w:p>
    <w:p w:rsidR="00466AC4" w:rsidRPr="006058E6" w:rsidRDefault="00330E48" w:rsidP="006058E6">
      <w:pPr>
        <w:numPr>
          <w:ilvl w:val="0"/>
          <w:numId w:val="11"/>
        </w:numPr>
        <w:spacing w:before="100" w:beforeAutospacing="1" w:after="100" w:afterAutospacing="1" w:line="240" w:lineRule="auto"/>
        <w:jc w:val="both"/>
        <w:rPr>
          <w:rFonts w:cs="Arial"/>
          <w:lang w:eastAsia="en-GB"/>
        </w:rPr>
      </w:pPr>
      <w:r w:rsidRPr="006058E6">
        <w:rPr>
          <w:rFonts w:cs="Arial"/>
          <w:lang w:eastAsia="en-GB"/>
        </w:rPr>
        <w:t>E</w:t>
      </w:r>
      <w:r w:rsidR="00466AC4" w:rsidRPr="006058E6">
        <w:rPr>
          <w:rFonts w:cs="Arial"/>
          <w:lang w:eastAsia="en-GB"/>
        </w:rPr>
        <w:t>nsure students receive an appropriate</w:t>
      </w:r>
      <w:r w:rsidRPr="006058E6">
        <w:rPr>
          <w:rFonts w:cs="Arial"/>
          <w:lang w:eastAsia="en-GB"/>
        </w:rPr>
        <w:t xml:space="preserve"> PSHE</w:t>
      </w:r>
      <w:r w:rsidR="00466AC4" w:rsidRPr="006058E6">
        <w:rPr>
          <w:rFonts w:cs="Arial"/>
          <w:lang w:eastAsia="en-GB"/>
        </w:rPr>
        <w:t xml:space="preserve"> programme, as well as developing </w:t>
      </w:r>
      <w:r w:rsidRPr="006058E6">
        <w:rPr>
          <w:rFonts w:cs="Arial"/>
          <w:lang w:eastAsia="en-GB"/>
        </w:rPr>
        <w:t>their SMSC and their</w:t>
      </w:r>
      <w:r w:rsidR="00466AC4" w:rsidRPr="006058E6">
        <w:rPr>
          <w:rFonts w:cs="Arial"/>
          <w:lang w:eastAsia="en-GB"/>
        </w:rPr>
        <w:t xml:space="preserve"> understandin</w:t>
      </w:r>
      <w:r w:rsidRPr="006058E6">
        <w:rPr>
          <w:rFonts w:cs="Arial"/>
          <w:lang w:eastAsia="en-GB"/>
        </w:rPr>
        <w:t>g of British Values and Prevent</w:t>
      </w:r>
    </w:p>
    <w:p w:rsidR="00330E48" w:rsidRPr="00330E48" w:rsidRDefault="00330E48" w:rsidP="00330E48">
      <w:pPr>
        <w:spacing w:before="100" w:beforeAutospacing="1" w:after="100" w:afterAutospacing="1" w:line="240" w:lineRule="auto"/>
        <w:jc w:val="both"/>
        <w:rPr>
          <w:rFonts w:cs="Arial"/>
          <w:b/>
          <w:lang w:eastAsia="en-GB"/>
        </w:rPr>
      </w:pPr>
      <w:r w:rsidRPr="00330E48">
        <w:rPr>
          <w:rFonts w:cs="Arial"/>
          <w:b/>
          <w:lang w:eastAsia="en-GB"/>
        </w:rPr>
        <w:t>To achieve this we ensure that:</w:t>
      </w:r>
    </w:p>
    <w:p w:rsidR="000B1783" w:rsidRDefault="007A6B97" w:rsidP="00C26521">
      <w:pPr>
        <w:spacing w:after="0"/>
        <w:jc w:val="both"/>
      </w:pPr>
      <w:r>
        <w:t xml:space="preserve">Class sizes are always small with a high staff to learner ratio </w:t>
      </w:r>
      <w:r w:rsidR="00330E48">
        <w:t>ensuring</w:t>
      </w:r>
      <w:r w:rsidR="00103116">
        <w:t xml:space="preserve"> the right level</w:t>
      </w:r>
      <w:r>
        <w:t xml:space="preserve"> of support can be offered by our </w:t>
      </w:r>
      <w:r w:rsidR="007E3806">
        <w:t>experienced, specialist staff.</w:t>
      </w:r>
      <w:r w:rsidR="00103116">
        <w:t xml:space="preserve"> It is also key that regular contact and collaborat</w:t>
      </w:r>
      <w:r w:rsidR="00330E48">
        <w:t>ion is maintained with parents and</w:t>
      </w:r>
      <w:r w:rsidR="00103116">
        <w:t xml:space="preserve"> guardians. To this end, frequent academic, pastoral and behaviour reviews take place to set and monitor learner progress towards specific individual targets.</w:t>
      </w:r>
      <w:r w:rsidR="000B7E03">
        <w:t xml:space="preserve"> Progress towards these targets will be evidenced in personal achievement folders </w:t>
      </w:r>
      <w:r w:rsidR="006533DE">
        <w:t>for those attending at our premises and with online monitoring and recording for those using our online resources. R</w:t>
      </w:r>
      <w:r w:rsidR="000B7E03">
        <w:t xml:space="preserve">eaching targets and completing challenges </w:t>
      </w:r>
      <w:r w:rsidR="006533DE">
        <w:t>can</w:t>
      </w:r>
      <w:r w:rsidR="000B7E03">
        <w:t xml:space="preserve"> contribute to nationally accredited Awards.</w:t>
      </w:r>
      <w:r w:rsidR="00103116">
        <w:t xml:space="preserve"> Where necessary, support from external agencies will be called upon </w:t>
      </w:r>
      <w:r w:rsidR="00C63CA1">
        <w:t xml:space="preserve">to help cater to the best interests of learners and provide a holistic approach </w:t>
      </w:r>
      <w:r w:rsidR="00404CBD">
        <w:t>to their development.</w:t>
      </w:r>
    </w:p>
    <w:p w:rsidR="00404CBD" w:rsidRDefault="00404CBD" w:rsidP="00C26521">
      <w:pPr>
        <w:spacing w:after="0"/>
        <w:jc w:val="both"/>
      </w:pPr>
    </w:p>
    <w:p w:rsidR="003105B5" w:rsidRDefault="006533DE" w:rsidP="00C26521">
      <w:pPr>
        <w:spacing w:after="0"/>
        <w:jc w:val="both"/>
      </w:pPr>
      <w:r>
        <w:t>L</w:t>
      </w:r>
      <w:r w:rsidR="00404CBD">
        <w:t>earners will work on collaborative communication, assertiveness and ef</w:t>
      </w:r>
      <w:r w:rsidR="006D1973">
        <w:t>fective decision making skills</w:t>
      </w:r>
      <w:r>
        <w:t xml:space="preserve">. KS4 learners </w:t>
      </w:r>
      <w:r w:rsidR="00404CBD">
        <w:t xml:space="preserve">will </w:t>
      </w:r>
      <w:r>
        <w:t xml:space="preserve">specifically </w:t>
      </w:r>
      <w:r w:rsidR="00404CBD">
        <w:t>develop their awareness of the world of work</w:t>
      </w:r>
      <w:r w:rsidR="005267E4">
        <w:t xml:space="preserve"> and employability skills. All learners </w:t>
      </w:r>
      <w:r>
        <w:t xml:space="preserve">attending at our premises </w:t>
      </w:r>
      <w:r w:rsidR="005267E4">
        <w:t xml:space="preserve">will take part in outdoor physical activity and team building. </w:t>
      </w:r>
    </w:p>
    <w:p w:rsidR="006533DE" w:rsidRDefault="006533DE" w:rsidP="00C26521">
      <w:pPr>
        <w:spacing w:after="0"/>
        <w:jc w:val="both"/>
        <w:rPr>
          <w:b/>
          <w:sz w:val="28"/>
          <w:szCs w:val="28"/>
        </w:rPr>
      </w:pPr>
    </w:p>
    <w:p w:rsidR="005C0D94" w:rsidRDefault="00F52F7E" w:rsidP="005C0D94">
      <w:pPr>
        <w:spacing w:after="0" w:line="240" w:lineRule="auto"/>
        <w:jc w:val="both"/>
        <w:rPr>
          <w:b/>
          <w:sz w:val="28"/>
          <w:szCs w:val="28"/>
        </w:rPr>
      </w:pPr>
      <w:r>
        <w:rPr>
          <w:b/>
          <w:sz w:val="28"/>
          <w:szCs w:val="28"/>
        </w:rPr>
        <w:t>Our Team:</w:t>
      </w:r>
    </w:p>
    <w:p w:rsidR="003105B5" w:rsidRDefault="00F52F7E" w:rsidP="005C0D94">
      <w:pPr>
        <w:spacing w:after="0" w:line="240" w:lineRule="auto"/>
        <w:jc w:val="both"/>
        <w:rPr>
          <w:b/>
          <w:sz w:val="28"/>
          <w:szCs w:val="28"/>
        </w:rPr>
      </w:pPr>
      <w:r>
        <w:rPr>
          <w:b/>
          <w:sz w:val="28"/>
          <w:szCs w:val="28"/>
        </w:rPr>
        <w:t xml:space="preserve">Mr </w:t>
      </w:r>
      <w:r w:rsidR="003105B5">
        <w:rPr>
          <w:b/>
          <w:sz w:val="28"/>
          <w:szCs w:val="28"/>
        </w:rPr>
        <w:t>Steven Daniels – Head of Centre</w:t>
      </w:r>
    </w:p>
    <w:p w:rsidR="006B13C8" w:rsidRDefault="00896634" w:rsidP="005C0D94">
      <w:pPr>
        <w:spacing w:after="0" w:line="240" w:lineRule="auto"/>
        <w:jc w:val="both"/>
        <w:rPr>
          <w:b/>
          <w:sz w:val="28"/>
          <w:szCs w:val="28"/>
        </w:rPr>
      </w:pPr>
      <w:r>
        <w:rPr>
          <w:b/>
          <w:sz w:val="28"/>
          <w:szCs w:val="28"/>
        </w:rPr>
        <w:t>Stephanie Scott</w:t>
      </w:r>
      <w:r w:rsidR="003105B5">
        <w:rPr>
          <w:b/>
          <w:sz w:val="28"/>
          <w:szCs w:val="28"/>
        </w:rPr>
        <w:t xml:space="preserve"> – </w:t>
      </w:r>
      <w:r w:rsidR="0087015C">
        <w:rPr>
          <w:b/>
          <w:sz w:val="28"/>
          <w:szCs w:val="28"/>
        </w:rPr>
        <w:t xml:space="preserve">Support Worker </w:t>
      </w:r>
    </w:p>
    <w:p w:rsidR="005838D9" w:rsidRDefault="005838D9" w:rsidP="005C0D94">
      <w:pPr>
        <w:spacing w:after="0" w:line="240" w:lineRule="auto"/>
        <w:jc w:val="both"/>
        <w:rPr>
          <w:b/>
          <w:sz w:val="28"/>
          <w:szCs w:val="28"/>
        </w:rPr>
      </w:pPr>
      <w:r>
        <w:rPr>
          <w:b/>
          <w:sz w:val="28"/>
          <w:szCs w:val="28"/>
        </w:rPr>
        <w:t>Janet Kane – Support Worker</w:t>
      </w:r>
    </w:p>
    <w:p w:rsidR="00F52F7E" w:rsidRDefault="005838D9" w:rsidP="005C0D94">
      <w:pPr>
        <w:spacing w:after="0" w:line="240" w:lineRule="auto"/>
        <w:jc w:val="both"/>
        <w:rPr>
          <w:b/>
          <w:sz w:val="28"/>
          <w:szCs w:val="28"/>
        </w:rPr>
      </w:pPr>
      <w:r>
        <w:rPr>
          <w:b/>
          <w:sz w:val="28"/>
          <w:szCs w:val="28"/>
        </w:rPr>
        <w:t>Jamie Houselay</w:t>
      </w:r>
      <w:r w:rsidR="006B13C8">
        <w:rPr>
          <w:b/>
          <w:sz w:val="28"/>
          <w:szCs w:val="28"/>
        </w:rPr>
        <w:t xml:space="preserve"> – </w:t>
      </w:r>
      <w:r>
        <w:rPr>
          <w:b/>
          <w:sz w:val="28"/>
          <w:szCs w:val="28"/>
        </w:rPr>
        <w:t>Science Teacher</w:t>
      </w:r>
    </w:p>
    <w:p w:rsidR="00F52F7E" w:rsidRDefault="00F52F7E" w:rsidP="005C0D94">
      <w:pPr>
        <w:spacing w:after="0" w:line="240" w:lineRule="auto"/>
        <w:jc w:val="both"/>
        <w:rPr>
          <w:b/>
          <w:sz w:val="28"/>
          <w:szCs w:val="28"/>
        </w:rPr>
      </w:pPr>
      <w:r>
        <w:rPr>
          <w:b/>
          <w:sz w:val="28"/>
          <w:szCs w:val="28"/>
        </w:rPr>
        <w:t xml:space="preserve">Mr Ian Roberts – </w:t>
      </w:r>
      <w:r w:rsidR="00656E9C">
        <w:rPr>
          <w:b/>
          <w:sz w:val="28"/>
          <w:szCs w:val="28"/>
        </w:rPr>
        <w:t>Site Manager</w:t>
      </w:r>
    </w:p>
    <w:p w:rsidR="000260D2" w:rsidRPr="000260D2" w:rsidRDefault="000260D2" w:rsidP="00C26521">
      <w:pPr>
        <w:spacing w:after="0"/>
        <w:jc w:val="both"/>
        <w:rPr>
          <w:b/>
          <w:sz w:val="28"/>
          <w:szCs w:val="28"/>
        </w:rPr>
      </w:pPr>
    </w:p>
    <w:p w:rsidR="00F74493" w:rsidRDefault="00F74493" w:rsidP="00C26521">
      <w:pPr>
        <w:spacing w:after="0"/>
        <w:jc w:val="both"/>
        <w:rPr>
          <w:b/>
          <w:sz w:val="28"/>
          <w:szCs w:val="28"/>
        </w:rPr>
      </w:pPr>
    </w:p>
    <w:p w:rsidR="00932839" w:rsidRDefault="00932839" w:rsidP="00932839">
      <w:pPr>
        <w:spacing w:after="0" w:line="240" w:lineRule="auto"/>
        <w:jc w:val="both"/>
        <w:rPr>
          <w:b/>
          <w:sz w:val="28"/>
          <w:szCs w:val="28"/>
        </w:rPr>
      </w:pPr>
      <w:r>
        <w:rPr>
          <w:b/>
          <w:sz w:val="28"/>
          <w:szCs w:val="28"/>
        </w:rPr>
        <w:lastRenderedPageBreak/>
        <w:t>Our Offer</w:t>
      </w:r>
      <w:r>
        <w:rPr>
          <w:b/>
          <w:sz w:val="28"/>
          <w:szCs w:val="28"/>
        </w:rPr>
        <w:t>:</w:t>
      </w:r>
    </w:p>
    <w:p w:rsidR="00083BDA" w:rsidRDefault="00083BDA" w:rsidP="00C26521">
      <w:pPr>
        <w:spacing w:after="0"/>
        <w:jc w:val="both"/>
        <w:rPr>
          <w:b/>
          <w:sz w:val="28"/>
          <w:szCs w:val="28"/>
        </w:rPr>
      </w:pPr>
    </w:p>
    <w:p w:rsidR="001F62A4" w:rsidRPr="001F62A4" w:rsidRDefault="006533DE" w:rsidP="00C26521">
      <w:pPr>
        <w:spacing w:after="0"/>
        <w:jc w:val="both"/>
        <w:rPr>
          <w:b/>
        </w:rPr>
      </w:pPr>
      <w:r>
        <w:rPr>
          <w:b/>
        </w:rPr>
        <w:t>A combination of classroom</w:t>
      </w:r>
      <w:r w:rsidR="001F62A4" w:rsidRPr="001F62A4">
        <w:rPr>
          <w:b/>
        </w:rPr>
        <w:t xml:space="preserve"> </w:t>
      </w:r>
      <w:r w:rsidR="006A4E4F">
        <w:rPr>
          <w:b/>
        </w:rPr>
        <w:t>&amp; online</w:t>
      </w:r>
      <w:r>
        <w:rPr>
          <w:b/>
        </w:rPr>
        <w:t xml:space="preserve"> based</w:t>
      </w:r>
      <w:r w:rsidR="006A4E4F">
        <w:rPr>
          <w:b/>
        </w:rPr>
        <w:t xml:space="preserve"> </w:t>
      </w:r>
      <w:r w:rsidR="001F62A4" w:rsidRPr="001F62A4">
        <w:rPr>
          <w:b/>
        </w:rPr>
        <w:t>education in the following curriculum subjects:</w:t>
      </w:r>
    </w:p>
    <w:p w:rsidR="00BC3F56" w:rsidRDefault="00BC3F56" w:rsidP="00C26521">
      <w:pPr>
        <w:spacing w:after="0"/>
        <w:jc w:val="both"/>
      </w:pPr>
    </w:p>
    <w:p w:rsidR="00BC3F56" w:rsidRDefault="00BC3F56" w:rsidP="00C26521">
      <w:pPr>
        <w:pStyle w:val="ListParagraph"/>
        <w:numPr>
          <w:ilvl w:val="0"/>
          <w:numId w:val="3"/>
        </w:numPr>
        <w:spacing w:after="0"/>
        <w:jc w:val="both"/>
      </w:pPr>
      <w:r>
        <w:t>Maths</w:t>
      </w:r>
      <w:r w:rsidR="005F3BAD">
        <w:t xml:space="preserve"> tuition</w:t>
      </w:r>
      <w:r w:rsidR="00932839">
        <w:t xml:space="preserve"> up to GCSE grade 5</w:t>
      </w:r>
    </w:p>
    <w:p w:rsidR="00BC3F56" w:rsidRDefault="00BC3F56" w:rsidP="00C26521">
      <w:pPr>
        <w:pStyle w:val="ListParagraph"/>
        <w:numPr>
          <w:ilvl w:val="0"/>
          <w:numId w:val="3"/>
        </w:numPr>
        <w:spacing w:after="0"/>
        <w:jc w:val="both"/>
      </w:pPr>
      <w:r>
        <w:t>English language</w:t>
      </w:r>
      <w:r w:rsidR="005F3BAD">
        <w:t xml:space="preserve"> tuition</w:t>
      </w:r>
      <w:r w:rsidR="00932839">
        <w:t xml:space="preserve"> </w:t>
      </w:r>
      <w:r w:rsidR="00932839">
        <w:t>up to GCSE grade 5</w:t>
      </w:r>
    </w:p>
    <w:p w:rsidR="00656E9C" w:rsidRDefault="00656E9C" w:rsidP="00C26521">
      <w:pPr>
        <w:pStyle w:val="ListParagraph"/>
        <w:numPr>
          <w:ilvl w:val="0"/>
          <w:numId w:val="3"/>
        </w:numPr>
        <w:spacing w:after="0"/>
        <w:jc w:val="both"/>
      </w:pPr>
      <w:r>
        <w:t>Science tuition</w:t>
      </w:r>
      <w:r w:rsidR="00932839" w:rsidRPr="00932839">
        <w:t xml:space="preserve"> </w:t>
      </w:r>
      <w:r w:rsidR="00932839">
        <w:t>up to GCSE grade 5</w:t>
      </w:r>
    </w:p>
    <w:p w:rsidR="003105B5" w:rsidRDefault="003105B5" w:rsidP="00C26521">
      <w:pPr>
        <w:pStyle w:val="ListParagraph"/>
        <w:numPr>
          <w:ilvl w:val="0"/>
          <w:numId w:val="3"/>
        </w:numPr>
        <w:spacing w:after="0"/>
        <w:jc w:val="both"/>
      </w:pPr>
      <w:r>
        <w:t>Employability Skills</w:t>
      </w:r>
      <w:r w:rsidR="0087015C">
        <w:t xml:space="preserve"> Award and L1 &amp;2 qualification</w:t>
      </w:r>
    </w:p>
    <w:p w:rsidR="003105B5" w:rsidRDefault="003105B5" w:rsidP="00C26521">
      <w:pPr>
        <w:pStyle w:val="ListParagraph"/>
        <w:numPr>
          <w:ilvl w:val="0"/>
          <w:numId w:val="3"/>
        </w:numPr>
        <w:spacing w:after="0"/>
        <w:jc w:val="both"/>
      </w:pPr>
      <w:r>
        <w:t>Youth Achievement Awards</w:t>
      </w:r>
    </w:p>
    <w:p w:rsidR="0087015C" w:rsidRDefault="0087015C" w:rsidP="00C26521">
      <w:pPr>
        <w:pStyle w:val="ListParagraph"/>
        <w:numPr>
          <w:ilvl w:val="0"/>
          <w:numId w:val="3"/>
        </w:numPr>
        <w:spacing w:after="0"/>
        <w:jc w:val="both"/>
      </w:pPr>
      <w:r>
        <w:t>L1 &amp; 2 CoPE qualification</w:t>
      </w:r>
    </w:p>
    <w:p w:rsidR="001F62A4" w:rsidRDefault="00BB4642" w:rsidP="00C26521">
      <w:pPr>
        <w:pStyle w:val="ListParagraph"/>
        <w:numPr>
          <w:ilvl w:val="0"/>
          <w:numId w:val="3"/>
        </w:numPr>
        <w:spacing w:after="0"/>
        <w:jc w:val="both"/>
      </w:pPr>
      <w:r>
        <w:t>PSH</w:t>
      </w:r>
      <w:r w:rsidR="001F62A4">
        <w:t>E</w:t>
      </w:r>
    </w:p>
    <w:p w:rsidR="00932839" w:rsidRDefault="00932839" w:rsidP="00C26521">
      <w:pPr>
        <w:pStyle w:val="ListParagraph"/>
        <w:numPr>
          <w:ilvl w:val="0"/>
          <w:numId w:val="3"/>
        </w:numPr>
        <w:spacing w:after="0"/>
        <w:jc w:val="both"/>
      </w:pPr>
      <w:r>
        <w:t>Engagement through creative projects</w:t>
      </w:r>
    </w:p>
    <w:p w:rsidR="00932839" w:rsidRDefault="00932839" w:rsidP="00C26521">
      <w:pPr>
        <w:pStyle w:val="ListParagraph"/>
        <w:numPr>
          <w:ilvl w:val="0"/>
          <w:numId w:val="3"/>
        </w:numPr>
        <w:spacing w:after="0"/>
        <w:jc w:val="both"/>
      </w:pPr>
      <w:r>
        <w:t>Personal development &amp; progress coaching</w:t>
      </w:r>
    </w:p>
    <w:p w:rsidR="00932839" w:rsidRDefault="00932839" w:rsidP="00932839">
      <w:pPr>
        <w:pStyle w:val="ListParagraph"/>
        <w:spacing w:after="0"/>
        <w:jc w:val="both"/>
      </w:pPr>
    </w:p>
    <w:p w:rsidR="00C11089" w:rsidRDefault="00C11089" w:rsidP="00C11089">
      <w:pPr>
        <w:spacing w:after="0"/>
        <w:jc w:val="both"/>
        <w:rPr>
          <w:b/>
          <w:sz w:val="28"/>
          <w:szCs w:val="28"/>
        </w:rPr>
      </w:pPr>
    </w:p>
    <w:p w:rsidR="00C11089" w:rsidRPr="00F74493" w:rsidRDefault="0027714E" w:rsidP="00C11089">
      <w:pPr>
        <w:spacing w:after="0"/>
        <w:jc w:val="both"/>
        <w:rPr>
          <w:b/>
          <w:sz w:val="36"/>
          <w:szCs w:val="36"/>
        </w:rPr>
      </w:pPr>
      <w:r>
        <w:rPr>
          <w:b/>
          <w:sz w:val="36"/>
          <w:szCs w:val="36"/>
        </w:rPr>
        <w:t>Accredited Awards</w:t>
      </w:r>
      <w:r w:rsidR="006533DE">
        <w:rPr>
          <w:b/>
          <w:sz w:val="36"/>
          <w:szCs w:val="36"/>
        </w:rPr>
        <w:t xml:space="preserve"> while attending at our premises.</w:t>
      </w:r>
    </w:p>
    <w:p w:rsidR="00F74493" w:rsidRDefault="00B21212" w:rsidP="00F74493">
      <w:pPr>
        <w:spacing w:after="0"/>
        <w:jc w:val="both"/>
      </w:pPr>
      <w:r>
        <w:t xml:space="preserve">While at Horizons Education Centre </w:t>
      </w:r>
      <w:r w:rsidR="00F42E51">
        <w:t>learners</w:t>
      </w:r>
      <w:r>
        <w:t xml:space="preserve"> will take part in a wide variety of curricula and extra curricula activity. This will involve a core curriculum as detailed above in the Student Offer and </w:t>
      </w:r>
      <w:r w:rsidR="00F42E51">
        <w:t>learner’s participation</w:t>
      </w:r>
      <w:r>
        <w:t xml:space="preserve"> in or having responsibilities over various activities, challenges, and personal development goals. </w:t>
      </w:r>
      <w:r w:rsidR="00F42E51">
        <w:t>All students will be given an achievement folder to record and evidence their progress towards specified goals and tasks which will contribute to gaining nationally accredited awards</w:t>
      </w:r>
      <w:r w:rsidR="0087015C">
        <w:t xml:space="preserve"> and qualifications</w:t>
      </w:r>
      <w:r w:rsidR="00F42E51">
        <w:t>. These include:</w:t>
      </w:r>
    </w:p>
    <w:p w:rsidR="003105B5" w:rsidRDefault="003105B5" w:rsidP="00F74493">
      <w:pPr>
        <w:spacing w:after="0"/>
        <w:jc w:val="both"/>
      </w:pPr>
    </w:p>
    <w:p w:rsidR="00774788" w:rsidRPr="0087015C" w:rsidRDefault="00774788" w:rsidP="00F74493">
      <w:pPr>
        <w:spacing w:after="0"/>
        <w:jc w:val="both"/>
        <w:rPr>
          <w:b/>
          <w:sz w:val="28"/>
          <w:szCs w:val="28"/>
        </w:rPr>
      </w:pPr>
      <w:r w:rsidRPr="0087015C">
        <w:rPr>
          <w:b/>
          <w:sz w:val="28"/>
          <w:szCs w:val="28"/>
        </w:rPr>
        <w:t>Youth Achievement Awards</w:t>
      </w:r>
    </w:p>
    <w:p w:rsidR="00F42E51" w:rsidRDefault="001C41B4" w:rsidP="00F74493">
      <w:pPr>
        <w:spacing w:after="0"/>
        <w:jc w:val="both"/>
      </w:pPr>
      <w:r>
        <w:t>The Youth Achievement Awards (YAA) are accredited by ASDAN and are designed to award varying levels of participation, from simply taking part to taking full responsibility in bespoke challenges and activities. Learners gain transferable ASDAN credits through YAA that can contribute to other ASDAN awards and qualifications. The criteria for each award level can be seen in the table below.</w:t>
      </w:r>
    </w:p>
    <w:tbl>
      <w:tblPr>
        <w:tblStyle w:val="GridTable4-Accent6"/>
        <w:tblpPr w:leftFromText="180" w:rightFromText="180" w:vertAnchor="page" w:horzAnchor="margin" w:tblpY="9533"/>
        <w:tblW w:w="10456" w:type="dxa"/>
        <w:tblLook w:val="04A0" w:firstRow="1" w:lastRow="0" w:firstColumn="1" w:lastColumn="0" w:noHBand="0" w:noVBand="1"/>
      </w:tblPr>
      <w:tblGrid>
        <w:gridCol w:w="2611"/>
        <w:gridCol w:w="557"/>
        <w:gridCol w:w="2760"/>
        <w:gridCol w:w="2411"/>
        <w:gridCol w:w="2117"/>
      </w:tblGrid>
      <w:tr w:rsidR="00C0137E" w:rsidTr="00C0137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11" w:type="dxa"/>
          </w:tcPr>
          <w:p w:rsidR="00C0137E" w:rsidRPr="00C639C0" w:rsidRDefault="00C0137E" w:rsidP="00C0137E">
            <w:pPr>
              <w:jc w:val="both"/>
              <w:rPr>
                <w:b w:val="0"/>
              </w:rPr>
            </w:pPr>
            <w:r w:rsidRPr="00C639C0">
              <w:rPr>
                <w:b w:val="0"/>
              </w:rPr>
              <w:t>Award Level</w:t>
            </w:r>
          </w:p>
        </w:tc>
        <w:tc>
          <w:tcPr>
            <w:tcW w:w="557" w:type="dxa"/>
          </w:tcPr>
          <w:p w:rsidR="00C0137E" w:rsidRPr="00C639C0" w:rsidRDefault="00C0137E" w:rsidP="00C0137E">
            <w:pPr>
              <w:jc w:val="both"/>
              <w:cnfStyle w:val="100000000000" w:firstRow="1" w:lastRow="0" w:firstColumn="0" w:lastColumn="0" w:oddVBand="0" w:evenVBand="0" w:oddHBand="0" w:evenHBand="0" w:firstRowFirstColumn="0" w:firstRowLastColumn="0" w:lastRowFirstColumn="0" w:lastRowLastColumn="0"/>
              <w:rPr>
                <w:b w:val="0"/>
              </w:rPr>
            </w:pPr>
            <w:r w:rsidRPr="00C639C0">
              <w:rPr>
                <w:b w:val="0"/>
              </w:rPr>
              <w:t>Age</w:t>
            </w:r>
          </w:p>
        </w:tc>
        <w:tc>
          <w:tcPr>
            <w:tcW w:w="2760" w:type="dxa"/>
          </w:tcPr>
          <w:p w:rsidR="00C0137E" w:rsidRPr="00C639C0" w:rsidRDefault="00C0137E" w:rsidP="00C0137E">
            <w:pPr>
              <w:jc w:val="both"/>
              <w:cnfStyle w:val="100000000000" w:firstRow="1" w:lastRow="0" w:firstColumn="0" w:lastColumn="0" w:oddVBand="0" w:evenVBand="0" w:oddHBand="0" w:evenHBand="0" w:firstRowFirstColumn="0" w:firstRowLastColumn="0" w:lastRowFirstColumn="0" w:lastRowLastColumn="0"/>
              <w:rPr>
                <w:b w:val="0"/>
              </w:rPr>
            </w:pPr>
            <w:r w:rsidRPr="00C639C0">
              <w:rPr>
                <w:b w:val="0"/>
              </w:rPr>
              <w:t>Tasks</w:t>
            </w:r>
          </w:p>
        </w:tc>
        <w:tc>
          <w:tcPr>
            <w:tcW w:w="2411" w:type="dxa"/>
          </w:tcPr>
          <w:p w:rsidR="00C0137E" w:rsidRPr="00C639C0" w:rsidRDefault="00C0137E" w:rsidP="00C0137E">
            <w:pPr>
              <w:jc w:val="both"/>
              <w:cnfStyle w:val="100000000000" w:firstRow="1" w:lastRow="0" w:firstColumn="0" w:lastColumn="0" w:oddVBand="0" w:evenVBand="0" w:oddHBand="0" w:evenHBand="0" w:firstRowFirstColumn="0" w:firstRowLastColumn="0" w:lastRowFirstColumn="0" w:lastRowLastColumn="0"/>
              <w:rPr>
                <w:b w:val="0"/>
              </w:rPr>
            </w:pPr>
            <w:r w:rsidRPr="00C639C0">
              <w:rPr>
                <w:b w:val="0"/>
              </w:rPr>
              <w:t>Criteria</w:t>
            </w:r>
          </w:p>
        </w:tc>
        <w:tc>
          <w:tcPr>
            <w:tcW w:w="2117" w:type="dxa"/>
          </w:tcPr>
          <w:p w:rsidR="00C0137E" w:rsidRPr="00C639C0" w:rsidRDefault="00C0137E" w:rsidP="00C0137E">
            <w:pPr>
              <w:jc w:val="both"/>
              <w:cnfStyle w:val="100000000000" w:firstRow="1" w:lastRow="0" w:firstColumn="0" w:lastColumn="0" w:oddVBand="0" w:evenVBand="0" w:oddHBand="0" w:evenHBand="0" w:firstRowFirstColumn="0" w:firstRowLastColumn="0" w:lastRowFirstColumn="0" w:lastRowLastColumn="0"/>
            </w:pPr>
            <w:r>
              <w:t>ASDAN Credits</w:t>
            </w:r>
          </w:p>
        </w:tc>
      </w:tr>
      <w:tr w:rsidR="00C0137E" w:rsidTr="00C0137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611" w:type="dxa"/>
          </w:tcPr>
          <w:p w:rsidR="00C0137E" w:rsidRDefault="00C0137E" w:rsidP="00C0137E">
            <w:pPr>
              <w:jc w:val="both"/>
            </w:pPr>
            <w:r>
              <w:t>Youth Challenge Award</w:t>
            </w:r>
          </w:p>
        </w:tc>
        <w:tc>
          <w:tcPr>
            <w:tcW w:w="557"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11+</w:t>
            </w:r>
          </w:p>
        </w:tc>
        <w:tc>
          <w:tcPr>
            <w:tcW w:w="2760"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Young person participates in activities</w:t>
            </w:r>
          </w:p>
        </w:tc>
        <w:tc>
          <w:tcPr>
            <w:tcW w:w="2411"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10 hours of activity</w:t>
            </w:r>
          </w:p>
        </w:tc>
        <w:tc>
          <w:tcPr>
            <w:tcW w:w="2117"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NA</w:t>
            </w:r>
          </w:p>
        </w:tc>
      </w:tr>
      <w:tr w:rsidR="00C0137E" w:rsidTr="00C0137E">
        <w:trPr>
          <w:trHeight w:val="513"/>
        </w:trPr>
        <w:tc>
          <w:tcPr>
            <w:cnfStyle w:val="001000000000" w:firstRow="0" w:lastRow="0" w:firstColumn="1" w:lastColumn="0" w:oddVBand="0" w:evenVBand="0" w:oddHBand="0" w:evenHBand="0" w:firstRowFirstColumn="0" w:firstRowLastColumn="0" w:lastRowFirstColumn="0" w:lastRowLastColumn="0"/>
            <w:tcW w:w="2611" w:type="dxa"/>
          </w:tcPr>
          <w:p w:rsidR="00C0137E" w:rsidRDefault="00C0137E" w:rsidP="00C0137E">
            <w:pPr>
              <w:jc w:val="both"/>
            </w:pPr>
            <w:r>
              <w:t>Bronze Youth Achievement Award</w:t>
            </w:r>
          </w:p>
        </w:tc>
        <w:tc>
          <w:tcPr>
            <w:tcW w:w="557"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14+</w:t>
            </w:r>
          </w:p>
        </w:tc>
        <w:tc>
          <w:tcPr>
            <w:tcW w:w="2760"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Young person participates in activities</w:t>
            </w:r>
          </w:p>
        </w:tc>
        <w:tc>
          <w:tcPr>
            <w:tcW w:w="2411"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2 activities of 15 hours duration Total: 30 hours</w:t>
            </w:r>
          </w:p>
        </w:tc>
        <w:tc>
          <w:tcPr>
            <w:tcW w:w="2117"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3</w:t>
            </w:r>
          </w:p>
        </w:tc>
      </w:tr>
      <w:tr w:rsidR="00C0137E" w:rsidTr="00C0137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611" w:type="dxa"/>
          </w:tcPr>
          <w:p w:rsidR="00C0137E" w:rsidRDefault="00C0137E" w:rsidP="00C0137E">
            <w:pPr>
              <w:jc w:val="both"/>
            </w:pPr>
            <w:r>
              <w:t>Silver Youth Achievement Award</w:t>
            </w:r>
          </w:p>
        </w:tc>
        <w:tc>
          <w:tcPr>
            <w:tcW w:w="557"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14+</w:t>
            </w:r>
          </w:p>
        </w:tc>
        <w:tc>
          <w:tcPr>
            <w:tcW w:w="2760"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Young person takes an assistant organiser’s role</w:t>
            </w:r>
          </w:p>
        </w:tc>
        <w:tc>
          <w:tcPr>
            <w:tcW w:w="2411"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4 activities of 15 hours duration Total: 60 hours</w:t>
            </w:r>
          </w:p>
        </w:tc>
        <w:tc>
          <w:tcPr>
            <w:tcW w:w="2117" w:type="dxa"/>
          </w:tcPr>
          <w:p w:rsidR="00C0137E" w:rsidRDefault="00C0137E" w:rsidP="00C0137E">
            <w:pPr>
              <w:jc w:val="both"/>
              <w:cnfStyle w:val="000000100000" w:firstRow="0" w:lastRow="0" w:firstColumn="0" w:lastColumn="0" w:oddVBand="0" w:evenVBand="0" w:oddHBand="1" w:evenHBand="0" w:firstRowFirstColumn="0" w:firstRowLastColumn="0" w:lastRowFirstColumn="0" w:lastRowLastColumn="0"/>
            </w:pPr>
            <w:r>
              <w:t>4</w:t>
            </w:r>
          </w:p>
        </w:tc>
      </w:tr>
      <w:tr w:rsidR="00C0137E" w:rsidTr="00C0137E">
        <w:trPr>
          <w:trHeight w:val="764"/>
        </w:trPr>
        <w:tc>
          <w:tcPr>
            <w:cnfStyle w:val="001000000000" w:firstRow="0" w:lastRow="0" w:firstColumn="1" w:lastColumn="0" w:oddVBand="0" w:evenVBand="0" w:oddHBand="0" w:evenHBand="0" w:firstRowFirstColumn="0" w:firstRowLastColumn="0" w:lastRowFirstColumn="0" w:lastRowLastColumn="0"/>
            <w:tcW w:w="2611" w:type="dxa"/>
          </w:tcPr>
          <w:p w:rsidR="00C0137E" w:rsidRDefault="00C0137E" w:rsidP="00C0137E">
            <w:pPr>
              <w:jc w:val="both"/>
            </w:pPr>
            <w:r>
              <w:t>Gold Youth Achievement Award</w:t>
            </w:r>
          </w:p>
        </w:tc>
        <w:tc>
          <w:tcPr>
            <w:tcW w:w="557"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14+</w:t>
            </w:r>
          </w:p>
        </w:tc>
        <w:tc>
          <w:tcPr>
            <w:tcW w:w="2760"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Young person takes a planning, organising and leading role</w:t>
            </w:r>
          </w:p>
        </w:tc>
        <w:tc>
          <w:tcPr>
            <w:tcW w:w="2411"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6 activities of 15 hours duration, plus a presentation Total: 90 hours</w:t>
            </w:r>
          </w:p>
        </w:tc>
        <w:tc>
          <w:tcPr>
            <w:tcW w:w="2117" w:type="dxa"/>
          </w:tcPr>
          <w:p w:rsidR="00C0137E" w:rsidRDefault="00C0137E" w:rsidP="00C0137E">
            <w:pPr>
              <w:jc w:val="both"/>
              <w:cnfStyle w:val="000000000000" w:firstRow="0" w:lastRow="0" w:firstColumn="0" w:lastColumn="0" w:oddVBand="0" w:evenVBand="0" w:oddHBand="0" w:evenHBand="0" w:firstRowFirstColumn="0" w:firstRowLastColumn="0" w:lastRowFirstColumn="0" w:lastRowLastColumn="0"/>
            </w:pPr>
            <w:r>
              <w:t>6</w:t>
            </w:r>
          </w:p>
        </w:tc>
      </w:tr>
    </w:tbl>
    <w:p w:rsidR="0087015C" w:rsidRDefault="0087015C" w:rsidP="0087015C">
      <w:pPr>
        <w:spacing w:after="0"/>
        <w:jc w:val="both"/>
        <w:rPr>
          <w:b/>
          <w:sz w:val="28"/>
          <w:szCs w:val="28"/>
        </w:rPr>
      </w:pPr>
    </w:p>
    <w:p w:rsidR="0087015C" w:rsidRDefault="0087015C" w:rsidP="0087015C">
      <w:pPr>
        <w:spacing w:after="0"/>
        <w:jc w:val="both"/>
        <w:rPr>
          <w:b/>
          <w:sz w:val="28"/>
          <w:szCs w:val="28"/>
        </w:rPr>
      </w:pPr>
      <w:r>
        <w:rPr>
          <w:b/>
          <w:sz w:val="28"/>
          <w:szCs w:val="28"/>
        </w:rPr>
        <w:t>CoPE Qualifications</w:t>
      </w:r>
    </w:p>
    <w:p w:rsidR="0087015C" w:rsidRPr="0087015C" w:rsidRDefault="0087015C" w:rsidP="0087015C">
      <w:pPr>
        <w:spacing w:after="0"/>
        <w:jc w:val="both"/>
      </w:pPr>
      <w:r>
        <w:t>CoPE stands for Certificate of Personal Effectiveness. Completing a CoPE L1 or 2 qualification entails recording evidence and working on 6 modules. These are: Working With Others, Improving Learning &amp; Performance, Problem Solving, Original Research, Communication and Oral Presentation. Students must complete 120 guided working hours and complete all modules to pass this qualification.</w:t>
      </w:r>
    </w:p>
    <w:p w:rsidR="0087015C" w:rsidRDefault="0087015C" w:rsidP="0087015C">
      <w:pPr>
        <w:spacing w:after="0"/>
        <w:jc w:val="both"/>
        <w:rPr>
          <w:b/>
          <w:sz w:val="28"/>
          <w:szCs w:val="28"/>
        </w:rPr>
      </w:pPr>
    </w:p>
    <w:p w:rsidR="0087015C" w:rsidRDefault="0087015C" w:rsidP="0087015C">
      <w:pPr>
        <w:spacing w:after="0"/>
        <w:jc w:val="both"/>
        <w:rPr>
          <w:b/>
          <w:sz w:val="28"/>
          <w:szCs w:val="28"/>
        </w:rPr>
      </w:pPr>
      <w:r>
        <w:rPr>
          <w:b/>
          <w:sz w:val="28"/>
          <w:szCs w:val="28"/>
        </w:rPr>
        <w:t>Employability Skills Award and Qualifications.</w:t>
      </w:r>
    </w:p>
    <w:p w:rsidR="0087015C" w:rsidRDefault="0087015C" w:rsidP="0087015C">
      <w:pPr>
        <w:spacing w:after="0"/>
        <w:jc w:val="both"/>
        <w:rPr>
          <w:b/>
          <w:sz w:val="36"/>
          <w:szCs w:val="36"/>
        </w:rPr>
      </w:pPr>
      <w:r>
        <w:t xml:space="preserve">The award involves completing 20 hours of work on a number of modules including Awareness of the world of work,  </w:t>
      </w:r>
    </w:p>
    <w:p w:rsidR="0087015C" w:rsidRDefault="0087015C" w:rsidP="00C26521">
      <w:pPr>
        <w:spacing w:after="0"/>
        <w:jc w:val="both"/>
      </w:pPr>
      <w:r>
        <w:t xml:space="preserve">Self-Management, Business and Enterprise, Customer Awareness and problem solving. The award is accredited by ASDAN and is a good precursor to lead onto ASDAN’s L2 Employability Skills qualification. Further modules can be </w:t>
      </w:r>
      <w:r>
        <w:lastRenderedPageBreak/>
        <w:t xml:space="preserve">completed </w:t>
      </w:r>
      <w:r w:rsidR="005C0D94">
        <w:t>towards the ASDAN Employability L1 &amp; 2 qualification in Employability. This entails 120 guided learning hours.</w:t>
      </w:r>
    </w:p>
    <w:p w:rsidR="003852DE" w:rsidRDefault="003852DE" w:rsidP="00C26521">
      <w:pPr>
        <w:spacing w:after="0"/>
        <w:jc w:val="both"/>
      </w:pPr>
    </w:p>
    <w:p w:rsidR="003852DE" w:rsidRDefault="003852DE" w:rsidP="003852DE">
      <w:pPr>
        <w:spacing w:after="0"/>
        <w:jc w:val="both"/>
        <w:rPr>
          <w:b/>
          <w:sz w:val="28"/>
          <w:szCs w:val="28"/>
        </w:rPr>
      </w:pPr>
      <w:r>
        <w:rPr>
          <w:b/>
          <w:sz w:val="28"/>
          <w:szCs w:val="28"/>
        </w:rPr>
        <w:t>Online learning</w:t>
      </w:r>
      <w:r>
        <w:rPr>
          <w:b/>
          <w:sz w:val="28"/>
          <w:szCs w:val="28"/>
        </w:rPr>
        <w:t>.</w:t>
      </w:r>
    </w:p>
    <w:p w:rsidR="003852DE" w:rsidRPr="003852DE" w:rsidRDefault="003852DE" w:rsidP="003852DE">
      <w:pPr>
        <w:spacing w:after="0"/>
        <w:jc w:val="both"/>
      </w:pPr>
      <w:r>
        <w:t>All of our learners will receive a username and password for our online education resources. This is a dedicated web based resource where lessons and course content are regularly uploaded to support learning and progress. This can be accessed by students any time whether on or off site and, where needed, is supported with video conferenced one-one tutoring and small group online</w:t>
      </w:r>
      <w:bookmarkStart w:id="0" w:name="_GoBack"/>
      <w:bookmarkEnd w:id="0"/>
      <w:r>
        <w:t xml:space="preserve"> lessons.</w:t>
      </w:r>
    </w:p>
    <w:p w:rsidR="003852DE" w:rsidRDefault="003852DE" w:rsidP="00C26521">
      <w:pPr>
        <w:spacing w:after="0"/>
        <w:jc w:val="both"/>
      </w:pPr>
    </w:p>
    <w:p w:rsidR="005C0D94" w:rsidRPr="005C0D94" w:rsidRDefault="005C0D94" w:rsidP="00C26521">
      <w:pPr>
        <w:spacing w:after="0"/>
        <w:jc w:val="both"/>
      </w:pPr>
    </w:p>
    <w:p w:rsidR="00C11089" w:rsidRPr="006058E6" w:rsidRDefault="00C11089" w:rsidP="00C26521">
      <w:pPr>
        <w:spacing w:after="0"/>
        <w:jc w:val="both"/>
        <w:rPr>
          <w:b/>
          <w:sz w:val="36"/>
          <w:szCs w:val="36"/>
        </w:rPr>
      </w:pPr>
      <w:r w:rsidRPr="006058E6">
        <w:rPr>
          <w:b/>
          <w:sz w:val="36"/>
          <w:szCs w:val="36"/>
        </w:rPr>
        <w:t>Supporting students back into mainstream or other long term educational settings</w:t>
      </w:r>
    </w:p>
    <w:p w:rsidR="00C11089" w:rsidRDefault="00C11089" w:rsidP="00C11089">
      <w:pPr>
        <w:spacing w:after="0"/>
        <w:jc w:val="both"/>
      </w:pPr>
      <w:r>
        <w:t>Learner progress will be monitored lesson by lesson according to the stages set out below.  As such, there is a focus on recording positive behaviour and progress in lesson.  Learners will contribute to the creation of individual targets that will focus their attention on positive educational goals.</w:t>
      </w:r>
      <w:r w:rsidR="002264ED">
        <w:t xml:space="preserve"> These targets will feed into an ‘Action Plan for Change’. All students will be aware of their targets and offered support to get back to their main school if this is their wish.</w:t>
      </w:r>
    </w:p>
    <w:tbl>
      <w:tblPr>
        <w:tblStyle w:val="GridTable4-Accent6"/>
        <w:tblpPr w:leftFromText="180" w:rightFromText="180" w:vertAnchor="text" w:horzAnchor="margin" w:tblpY="589"/>
        <w:tblW w:w="9155" w:type="dxa"/>
        <w:tblLook w:val="04A0" w:firstRow="1" w:lastRow="0" w:firstColumn="1" w:lastColumn="0" w:noHBand="0" w:noVBand="1"/>
      </w:tblPr>
      <w:tblGrid>
        <w:gridCol w:w="981"/>
        <w:gridCol w:w="1780"/>
        <w:gridCol w:w="2857"/>
        <w:gridCol w:w="3537"/>
      </w:tblGrid>
      <w:tr w:rsidR="004B4706" w:rsidTr="004B4706">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r>
              <w:t>Stage</w:t>
            </w:r>
          </w:p>
        </w:tc>
        <w:tc>
          <w:tcPr>
            <w:tcW w:w="1780" w:type="dxa"/>
          </w:tcPr>
          <w:p w:rsidR="004B4706" w:rsidRDefault="004B4706" w:rsidP="004B4706">
            <w:pPr>
              <w:jc w:val="both"/>
              <w:cnfStyle w:val="100000000000" w:firstRow="1" w:lastRow="0" w:firstColumn="0" w:lastColumn="0" w:oddVBand="0" w:evenVBand="0" w:oddHBand="0" w:evenHBand="0" w:firstRowFirstColumn="0" w:firstRowLastColumn="0" w:lastRowFirstColumn="0" w:lastRowLastColumn="0"/>
            </w:pPr>
            <w:r>
              <w:t>Aim</w:t>
            </w:r>
          </w:p>
        </w:tc>
        <w:tc>
          <w:tcPr>
            <w:tcW w:w="2857" w:type="dxa"/>
          </w:tcPr>
          <w:p w:rsidR="004B4706" w:rsidRDefault="004B4706" w:rsidP="004B4706">
            <w:pPr>
              <w:jc w:val="both"/>
              <w:cnfStyle w:val="100000000000" w:firstRow="1" w:lastRow="0" w:firstColumn="0" w:lastColumn="0" w:oddVBand="0" w:evenVBand="0" w:oddHBand="0" w:evenHBand="0" w:firstRowFirstColumn="0" w:firstRowLastColumn="0" w:lastRowFirstColumn="0" w:lastRowLastColumn="0"/>
            </w:pPr>
            <w:r>
              <w:t>Objective</w:t>
            </w:r>
          </w:p>
        </w:tc>
        <w:tc>
          <w:tcPr>
            <w:tcW w:w="3537" w:type="dxa"/>
          </w:tcPr>
          <w:p w:rsidR="004B4706" w:rsidRDefault="004B4706" w:rsidP="004B4706">
            <w:pPr>
              <w:jc w:val="both"/>
              <w:cnfStyle w:val="100000000000" w:firstRow="1" w:lastRow="0" w:firstColumn="0" w:lastColumn="0" w:oddVBand="0" w:evenVBand="0" w:oddHBand="0" w:evenHBand="0" w:firstRowFirstColumn="0" w:firstRowLastColumn="0" w:lastRowFirstColumn="0" w:lastRowLastColumn="0"/>
            </w:pPr>
            <w:r>
              <w:t>Evidence</w:t>
            </w:r>
          </w:p>
        </w:tc>
      </w:tr>
      <w:tr w:rsidR="004B4706" w:rsidTr="004B470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p>
        </w:tc>
        <w:tc>
          <w:tcPr>
            <w:tcW w:w="1780" w:type="dxa"/>
          </w:tcPr>
          <w:p w:rsidR="004B4706" w:rsidRDefault="004B4706" w:rsidP="004B4706">
            <w:pPr>
              <w:jc w:val="both"/>
              <w:cnfStyle w:val="000000100000" w:firstRow="0" w:lastRow="0" w:firstColumn="0" w:lastColumn="0" w:oddVBand="0" w:evenVBand="0" w:oddHBand="1" w:evenHBand="0" w:firstRowFirstColumn="0" w:firstRowLastColumn="0" w:lastRowFirstColumn="0" w:lastRowLastColumn="0"/>
            </w:pPr>
          </w:p>
        </w:tc>
        <w:tc>
          <w:tcPr>
            <w:tcW w:w="2857" w:type="dxa"/>
          </w:tcPr>
          <w:p w:rsidR="004B4706" w:rsidRDefault="004B4706" w:rsidP="004B4706">
            <w:pPr>
              <w:jc w:val="both"/>
              <w:cnfStyle w:val="000000100000" w:firstRow="0" w:lastRow="0" w:firstColumn="0" w:lastColumn="0" w:oddVBand="0" w:evenVBand="0" w:oddHBand="1" w:evenHBand="0" w:firstRowFirstColumn="0" w:firstRowLastColumn="0" w:lastRowFirstColumn="0" w:lastRowLastColumn="0"/>
            </w:pPr>
          </w:p>
        </w:tc>
        <w:tc>
          <w:tcPr>
            <w:tcW w:w="3537" w:type="dxa"/>
          </w:tcPr>
          <w:p w:rsidR="004B4706" w:rsidRDefault="004B4706" w:rsidP="004B4706">
            <w:pPr>
              <w:jc w:val="both"/>
              <w:cnfStyle w:val="000000100000" w:firstRow="0" w:lastRow="0" w:firstColumn="0" w:lastColumn="0" w:oddVBand="0" w:evenVBand="0" w:oddHBand="1" w:evenHBand="0" w:firstRowFirstColumn="0" w:firstRowLastColumn="0" w:lastRowFirstColumn="0" w:lastRowLastColumn="0"/>
            </w:pPr>
          </w:p>
        </w:tc>
      </w:tr>
      <w:tr w:rsidR="004B4706" w:rsidTr="004B4706">
        <w:trPr>
          <w:trHeight w:val="785"/>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r>
              <w:t>Stage 1</w:t>
            </w:r>
          </w:p>
        </w:tc>
        <w:tc>
          <w:tcPr>
            <w:tcW w:w="1780" w:type="dxa"/>
          </w:tcPr>
          <w:p w:rsidR="004B4706" w:rsidRDefault="004B4706" w:rsidP="004B4706">
            <w:pPr>
              <w:cnfStyle w:val="000000000000" w:firstRow="0" w:lastRow="0" w:firstColumn="0" w:lastColumn="0" w:oddVBand="0" w:evenVBand="0" w:oddHBand="0" w:evenHBand="0" w:firstRowFirstColumn="0" w:firstRowLastColumn="0" w:lastRowFirstColumn="0" w:lastRowLastColumn="0"/>
            </w:pPr>
            <w:r>
              <w:t>Participate in classes</w:t>
            </w:r>
          </w:p>
        </w:tc>
        <w:tc>
          <w:tcPr>
            <w:tcW w:w="2857" w:type="dxa"/>
          </w:tcPr>
          <w:p w:rsidR="004B4706" w:rsidRDefault="004B4706" w:rsidP="004B4706">
            <w:pPr>
              <w:jc w:val="both"/>
              <w:cnfStyle w:val="000000000000" w:firstRow="0" w:lastRow="0" w:firstColumn="0" w:lastColumn="0" w:oddVBand="0" w:evenVBand="0" w:oddHBand="0" w:evenHBand="0" w:firstRowFirstColumn="0" w:firstRowLastColumn="0" w:lastRowFirstColumn="0" w:lastRowLastColumn="0"/>
            </w:pPr>
            <w:r>
              <w:t xml:space="preserve">Respond positively to peers and staff. </w:t>
            </w:r>
          </w:p>
          <w:p w:rsidR="004B4706" w:rsidRDefault="004B4706" w:rsidP="004B4706">
            <w:pPr>
              <w:jc w:val="both"/>
              <w:cnfStyle w:val="000000000000" w:firstRow="0" w:lastRow="0" w:firstColumn="0" w:lastColumn="0" w:oddVBand="0" w:evenVBand="0" w:oddHBand="0" w:evenHBand="0" w:firstRowFirstColumn="0" w:firstRowLastColumn="0" w:lastRowFirstColumn="0" w:lastRowLastColumn="0"/>
            </w:pPr>
            <w:r>
              <w:t>Be an active learner.</w:t>
            </w:r>
          </w:p>
        </w:tc>
        <w:tc>
          <w:tcPr>
            <w:tcW w:w="3537" w:type="dxa"/>
          </w:tcPr>
          <w:p w:rsidR="004B4706" w:rsidRDefault="004B4706" w:rsidP="004B4706">
            <w:pPr>
              <w:jc w:val="both"/>
              <w:cnfStyle w:val="000000000000" w:firstRow="0" w:lastRow="0" w:firstColumn="0" w:lastColumn="0" w:oddVBand="0" w:evenVBand="0" w:oddHBand="0" w:evenHBand="0" w:firstRowFirstColumn="0" w:firstRowLastColumn="0" w:lastRowFirstColumn="0" w:lastRowLastColumn="0"/>
            </w:pPr>
            <w:r>
              <w:t xml:space="preserve">General progress shown in exercise books </w:t>
            </w:r>
          </w:p>
        </w:tc>
      </w:tr>
      <w:tr w:rsidR="004B4706" w:rsidTr="004B4706">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r>
              <w:t>Stage2</w:t>
            </w:r>
          </w:p>
        </w:tc>
        <w:tc>
          <w:tcPr>
            <w:tcW w:w="1780" w:type="dxa"/>
          </w:tcPr>
          <w:p w:rsidR="004B4706" w:rsidRDefault="005C0D94" w:rsidP="004B4706">
            <w:pPr>
              <w:jc w:val="both"/>
              <w:cnfStyle w:val="000000100000" w:firstRow="0" w:lastRow="0" w:firstColumn="0" w:lastColumn="0" w:oddVBand="0" w:evenVBand="0" w:oddHBand="1" w:evenHBand="0" w:firstRowFirstColumn="0" w:firstRowLastColumn="0" w:lastRowFirstColumn="0" w:lastRowLastColumn="0"/>
            </w:pPr>
            <w:r>
              <w:t>Showing commitment</w:t>
            </w:r>
          </w:p>
        </w:tc>
        <w:tc>
          <w:tcPr>
            <w:tcW w:w="2857" w:type="dxa"/>
          </w:tcPr>
          <w:p w:rsidR="004B4706" w:rsidRDefault="005C0D94" w:rsidP="004B4706">
            <w:pPr>
              <w:cnfStyle w:val="000000100000" w:firstRow="0" w:lastRow="0" w:firstColumn="0" w:lastColumn="0" w:oddVBand="0" w:evenVBand="0" w:oddHBand="1" w:evenHBand="0" w:firstRowFirstColumn="0" w:firstRowLastColumn="0" w:lastRowFirstColumn="0" w:lastRowLastColumn="0"/>
            </w:pPr>
            <w:r>
              <w:t>Be assertive, develop constructive communication and decision making skills. Complete work in class to the best of ability</w:t>
            </w:r>
          </w:p>
        </w:tc>
        <w:tc>
          <w:tcPr>
            <w:tcW w:w="3537" w:type="dxa"/>
          </w:tcPr>
          <w:p w:rsidR="004B4706" w:rsidRDefault="005C0D94" w:rsidP="004B4706">
            <w:pPr>
              <w:jc w:val="both"/>
              <w:cnfStyle w:val="000000100000" w:firstRow="0" w:lastRow="0" w:firstColumn="0" w:lastColumn="0" w:oddVBand="0" w:evenVBand="0" w:oddHBand="1" w:evenHBand="0" w:firstRowFirstColumn="0" w:firstRowLastColumn="0" w:lastRowFirstColumn="0" w:lastRowLastColumn="0"/>
            </w:pPr>
            <w:r>
              <w:t>Teacher comments on monitoring sheets. Positive signs of progress recorded on PSPs and action plans</w:t>
            </w:r>
          </w:p>
        </w:tc>
      </w:tr>
      <w:tr w:rsidR="004B4706" w:rsidTr="004B4706">
        <w:trPr>
          <w:trHeight w:val="1027"/>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r>
              <w:t>Stage3</w:t>
            </w:r>
          </w:p>
        </w:tc>
        <w:tc>
          <w:tcPr>
            <w:tcW w:w="1780" w:type="dxa"/>
          </w:tcPr>
          <w:p w:rsidR="004B4706" w:rsidRDefault="005C0D94" w:rsidP="004B4706">
            <w:pPr>
              <w:jc w:val="both"/>
              <w:cnfStyle w:val="000000000000" w:firstRow="0" w:lastRow="0" w:firstColumn="0" w:lastColumn="0" w:oddVBand="0" w:evenVBand="0" w:oddHBand="0" w:evenHBand="0" w:firstRowFirstColumn="0" w:firstRowLastColumn="0" w:lastRowFirstColumn="0" w:lastRowLastColumn="0"/>
            </w:pPr>
            <w:r>
              <w:t>Concerted effort towards targets</w:t>
            </w:r>
          </w:p>
        </w:tc>
        <w:tc>
          <w:tcPr>
            <w:tcW w:w="2857" w:type="dxa"/>
          </w:tcPr>
          <w:p w:rsidR="004B4706" w:rsidRDefault="005C0D94" w:rsidP="004B4706">
            <w:pPr>
              <w:jc w:val="both"/>
              <w:cnfStyle w:val="000000000000" w:firstRow="0" w:lastRow="0" w:firstColumn="0" w:lastColumn="0" w:oddVBand="0" w:evenVBand="0" w:oddHBand="0" w:evenHBand="0" w:firstRowFirstColumn="0" w:firstRowLastColumn="0" w:lastRowFirstColumn="0" w:lastRowLastColumn="0"/>
            </w:pPr>
            <w:r>
              <w:t>Agree to an improvement plan, completing tasks towards reaching new targets and taking part in regular reviews</w:t>
            </w:r>
          </w:p>
        </w:tc>
        <w:tc>
          <w:tcPr>
            <w:tcW w:w="3537" w:type="dxa"/>
          </w:tcPr>
          <w:p w:rsidR="004B4706" w:rsidRDefault="004B4706" w:rsidP="004B4706">
            <w:pPr>
              <w:jc w:val="both"/>
              <w:cnfStyle w:val="000000000000" w:firstRow="0" w:lastRow="0" w:firstColumn="0" w:lastColumn="0" w:oddVBand="0" w:evenVBand="0" w:oddHBand="0" w:evenHBand="0" w:firstRowFirstColumn="0" w:firstRowLastColumn="0" w:lastRowFirstColumn="0" w:lastRowLastColumn="0"/>
            </w:pPr>
            <w:r>
              <w:t>.</w:t>
            </w:r>
            <w:r w:rsidR="005C0D94">
              <w:t xml:space="preserve"> Record of targets. Matching work and reviews to targets. Outstanding work</w:t>
            </w:r>
          </w:p>
        </w:tc>
      </w:tr>
      <w:tr w:rsidR="004B4706" w:rsidTr="004B470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981" w:type="dxa"/>
          </w:tcPr>
          <w:p w:rsidR="004B4706" w:rsidRDefault="004B4706" w:rsidP="004B4706">
            <w:pPr>
              <w:jc w:val="both"/>
            </w:pPr>
            <w:r>
              <w:t>Stage4</w:t>
            </w:r>
          </w:p>
        </w:tc>
        <w:tc>
          <w:tcPr>
            <w:tcW w:w="1780" w:type="dxa"/>
          </w:tcPr>
          <w:p w:rsidR="004B4706" w:rsidRDefault="004B4706" w:rsidP="004B4706">
            <w:pPr>
              <w:jc w:val="both"/>
              <w:cnfStyle w:val="000000100000" w:firstRow="0" w:lastRow="0" w:firstColumn="0" w:lastColumn="0" w:oddVBand="0" w:evenVBand="0" w:oddHBand="1" w:evenHBand="0" w:firstRowFirstColumn="0" w:firstRowLastColumn="0" w:lastRowFirstColumn="0" w:lastRowLastColumn="0"/>
            </w:pPr>
            <w:r>
              <w:t>Achieving targets</w:t>
            </w:r>
          </w:p>
        </w:tc>
        <w:tc>
          <w:tcPr>
            <w:tcW w:w="2857" w:type="dxa"/>
          </w:tcPr>
          <w:p w:rsidR="004B4706" w:rsidRDefault="004B4706" w:rsidP="004B4706">
            <w:pPr>
              <w:jc w:val="both"/>
              <w:cnfStyle w:val="000000100000" w:firstRow="0" w:lastRow="0" w:firstColumn="0" w:lastColumn="0" w:oddVBand="0" w:evenVBand="0" w:oddHBand="1" w:evenHBand="0" w:firstRowFirstColumn="0" w:firstRowLastColumn="0" w:lastRowFirstColumn="0" w:lastRowLastColumn="0"/>
            </w:pPr>
            <w:r>
              <w:t xml:space="preserve">Must have made progress over time to master a new skill, fully overcome a specific challenge or achieve a specified target. </w:t>
            </w:r>
          </w:p>
        </w:tc>
        <w:tc>
          <w:tcPr>
            <w:tcW w:w="3537" w:type="dxa"/>
          </w:tcPr>
          <w:p w:rsidR="004B4706" w:rsidRDefault="004B4706" w:rsidP="004B4706">
            <w:pPr>
              <w:cnfStyle w:val="000000100000" w:firstRow="0" w:lastRow="0" w:firstColumn="0" w:lastColumn="0" w:oddVBand="0" w:evenVBand="0" w:oddHBand="1" w:evenHBand="0" w:firstRowFirstColumn="0" w:firstRowLastColumn="0" w:lastRowFirstColumn="0" w:lastRowLastColumn="0"/>
            </w:pPr>
            <w:r>
              <w:t>Progression in exercise books. Review documents.</w:t>
            </w:r>
          </w:p>
        </w:tc>
      </w:tr>
    </w:tbl>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4B4706" w:rsidRDefault="004B4706" w:rsidP="00C11089">
      <w:pPr>
        <w:spacing w:after="0"/>
        <w:jc w:val="both"/>
      </w:pPr>
    </w:p>
    <w:p w:rsidR="00C11089" w:rsidRDefault="00C11089" w:rsidP="00C11089">
      <w:pPr>
        <w:spacing w:after="0"/>
        <w:jc w:val="both"/>
        <w:rPr>
          <w:b/>
          <w:sz w:val="28"/>
          <w:szCs w:val="28"/>
        </w:rPr>
      </w:pPr>
      <w:r>
        <w:rPr>
          <w:b/>
          <w:sz w:val="28"/>
          <w:szCs w:val="28"/>
        </w:rPr>
        <w:t>Support &amp; Interventions</w:t>
      </w:r>
    </w:p>
    <w:p w:rsidR="00C11089" w:rsidRDefault="00C11089" w:rsidP="00C11089">
      <w:pPr>
        <w:spacing w:after="0"/>
        <w:jc w:val="both"/>
      </w:pPr>
      <w:r>
        <w:t>There are expectations for all learners to make progress through each of the above stages. However, we realise that the Journey through these stages may be bumpy and challenging and learners may hit stumbling blocks, frustrations or lack motivation along the way. It is at these times when extra support or interventions will be put in p</w:t>
      </w:r>
      <w:r w:rsidR="000E04F6">
        <w:t>lace</w:t>
      </w:r>
      <w:r w:rsidR="003400E8">
        <w:t xml:space="preserve"> in the form of a Personal Support Plan (PSP)</w:t>
      </w:r>
      <w:r w:rsidR="000E04F6">
        <w:t xml:space="preserve">. </w:t>
      </w:r>
    </w:p>
    <w:p w:rsidR="008855FD" w:rsidRDefault="008855FD" w:rsidP="00C11089">
      <w:pPr>
        <w:spacing w:after="0"/>
        <w:jc w:val="both"/>
      </w:pPr>
    </w:p>
    <w:p w:rsidR="000E04F6" w:rsidRDefault="003400E8" w:rsidP="00C11089">
      <w:pPr>
        <w:spacing w:after="0"/>
        <w:jc w:val="both"/>
      </w:pPr>
      <w:r>
        <w:t>When a PSP is about to be put in</w:t>
      </w:r>
      <w:r w:rsidR="00682740">
        <w:t xml:space="preserve"> place, parents,</w:t>
      </w:r>
      <w:r>
        <w:t xml:space="preserve"> guardians</w:t>
      </w:r>
      <w:r w:rsidR="00682740">
        <w:t xml:space="preserve"> and key workers</w:t>
      </w:r>
      <w:r>
        <w:t xml:space="preserve"> will be informed and invited to an initial PSP meeting. Support needs will be discussed and </w:t>
      </w:r>
      <w:r w:rsidR="00C64B28">
        <w:t xml:space="preserve">three targets will be identified and set where progress is most needed to overcome barriers to the learner’s education. Progress towards these targets will be monitored on a weekly or bi-weekly basis. During the PSP process external agencies are often called upon to help assess a learner’s needs or to contribute to the overall support. </w:t>
      </w:r>
      <w:r w:rsidR="005D5722">
        <w:t>All PSP documents will be shared wit</w:t>
      </w:r>
      <w:r w:rsidR="00682740">
        <w:t>h relevant referring schools</w:t>
      </w:r>
      <w:r w:rsidR="005D5722">
        <w:t xml:space="preserve"> along with evaluation reports after 6 and then 12 weeks. </w:t>
      </w:r>
    </w:p>
    <w:p w:rsidR="00656E9C" w:rsidRDefault="00656E9C" w:rsidP="00C11089">
      <w:pPr>
        <w:spacing w:after="0"/>
        <w:jc w:val="both"/>
      </w:pPr>
    </w:p>
    <w:p w:rsidR="00656E9C" w:rsidRPr="00F74493" w:rsidRDefault="00656E9C" w:rsidP="00656E9C">
      <w:pPr>
        <w:spacing w:after="0"/>
        <w:jc w:val="both"/>
        <w:rPr>
          <w:b/>
          <w:sz w:val="36"/>
          <w:szCs w:val="36"/>
        </w:rPr>
      </w:pPr>
      <w:r>
        <w:rPr>
          <w:b/>
          <w:sz w:val="36"/>
          <w:szCs w:val="36"/>
        </w:rPr>
        <w:lastRenderedPageBreak/>
        <w:t>W</w:t>
      </w:r>
      <w:r w:rsidRPr="00F74493">
        <w:rPr>
          <w:b/>
          <w:sz w:val="36"/>
          <w:szCs w:val="36"/>
        </w:rPr>
        <w:t>orking with other professional Agencies</w:t>
      </w:r>
    </w:p>
    <w:p w:rsidR="00656E9C" w:rsidRDefault="00656E9C" w:rsidP="00656E9C">
      <w:pPr>
        <w:spacing w:after="0"/>
        <w:jc w:val="both"/>
      </w:pPr>
    </w:p>
    <w:p w:rsidR="00656E9C" w:rsidRDefault="00656E9C" w:rsidP="005C0D94">
      <w:pPr>
        <w:spacing w:after="0" w:line="240" w:lineRule="auto"/>
        <w:jc w:val="both"/>
      </w:pPr>
      <w:r>
        <w:t>During the placement members of the following agencies may be involved in the consultation about students placed here. These are:</w:t>
      </w:r>
    </w:p>
    <w:p w:rsidR="00656E9C" w:rsidRDefault="00656E9C" w:rsidP="005C0D94">
      <w:pPr>
        <w:spacing w:after="0" w:line="240" w:lineRule="auto"/>
        <w:jc w:val="both"/>
      </w:pPr>
    </w:p>
    <w:tbl>
      <w:tblPr>
        <w:tblStyle w:val="TableGrid"/>
        <w:tblW w:w="0" w:type="auto"/>
        <w:tblLook w:val="04A0" w:firstRow="1" w:lastRow="0" w:firstColumn="1" w:lastColumn="0" w:noHBand="0" w:noVBand="1"/>
      </w:tblPr>
      <w:tblGrid>
        <w:gridCol w:w="4508"/>
        <w:gridCol w:w="4508"/>
      </w:tblGrid>
      <w:tr w:rsidR="00656E9C" w:rsidTr="005C0D94">
        <w:tc>
          <w:tcPr>
            <w:tcW w:w="4508" w:type="dxa"/>
          </w:tcPr>
          <w:p w:rsidR="00656E9C" w:rsidRDefault="00656E9C" w:rsidP="005C0D94">
            <w:pPr>
              <w:jc w:val="both"/>
            </w:pPr>
            <w:r>
              <w:t>Locality Teams</w:t>
            </w:r>
          </w:p>
        </w:tc>
        <w:tc>
          <w:tcPr>
            <w:tcW w:w="4508" w:type="dxa"/>
          </w:tcPr>
          <w:p w:rsidR="00656E9C" w:rsidRDefault="00656E9C" w:rsidP="005C0D94">
            <w:pPr>
              <w:jc w:val="both"/>
            </w:pPr>
            <w:r>
              <w:t>Child &amp; Adolescent Mental health Services</w:t>
            </w:r>
          </w:p>
        </w:tc>
      </w:tr>
      <w:tr w:rsidR="00656E9C" w:rsidTr="005C0D94">
        <w:tc>
          <w:tcPr>
            <w:tcW w:w="4508" w:type="dxa"/>
          </w:tcPr>
          <w:p w:rsidR="00656E9C" w:rsidRDefault="00656E9C" w:rsidP="005C0D94">
            <w:pPr>
              <w:jc w:val="both"/>
            </w:pPr>
            <w:r>
              <w:t>Learning Support Service</w:t>
            </w:r>
          </w:p>
        </w:tc>
        <w:tc>
          <w:tcPr>
            <w:tcW w:w="4508" w:type="dxa"/>
          </w:tcPr>
          <w:p w:rsidR="00656E9C" w:rsidRDefault="00656E9C" w:rsidP="005C0D94">
            <w:pPr>
              <w:jc w:val="both"/>
            </w:pPr>
            <w:r>
              <w:t>Behaviour Improvement Programme</w:t>
            </w:r>
          </w:p>
        </w:tc>
      </w:tr>
      <w:tr w:rsidR="00656E9C" w:rsidTr="005C0D94">
        <w:tc>
          <w:tcPr>
            <w:tcW w:w="4508" w:type="dxa"/>
          </w:tcPr>
          <w:p w:rsidR="00656E9C" w:rsidRDefault="00656E9C" w:rsidP="005C0D94">
            <w:pPr>
              <w:jc w:val="both"/>
            </w:pPr>
            <w:r>
              <w:t>Education Welfare Service</w:t>
            </w:r>
          </w:p>
        </w:tc>
        <w:tc>
          <w:tcPr>
            <w:tcW w:w="4508" w:type="dxa"/>
          </w:tcPr>
          <w:p w:rsidR="00656E9C" w:rsidRDefault="00656E9C" w:rsidP="005C0D94">
            <w:pPr>
              <w:jc w:val="both"/>
            </w:pPr>
            <w:r>
              <w:t>School Health</w:t>
            </w:r>
          </w:p>
        </w:tc>
      </w:tr>
      <w:tr w:rsidR="00656E9C" w:rsidTr="005C0D94">
        <w:tc>
          <w:tcPr>
            <w:tcW w:w="4508" w:type="dxa"/>
          </w:tcPr>
          <w:p w:rsidR="00656E9C" w:rsidRDefault="00656E9C" w:rsidP="005C0D94">
            <w:pPr>
              <w:jc w:val="both"/>
            </w:pPr>
            <w:r>
              <w:t>Educational Psychology Service</w:t>
            </w:r>
          </w:p>
        </w:tc>
        <w:tc>
          <w:tcPr>
            <w:tcW w:w="4508" w:type="dxa"/>
          </w:tcPr>
          <w:p w:rsidR="00656E9C" w:rsidRDefault="00656E9C" w:rsidP="005C0D94">
            <w:pPr>
              <w:jc w:val="both"/>
            </w:pPr>
            <w:r>
              <w:t>Parenting Support</w:t>
            </w:r>
          </w:p>
        </w:tc>
      </w:tr>
      <w:tr w:rsidR="00656E9C" w:rsidTr="005C0D94">
        <w:tc>
          <w:tcPr>
            <w:tcW w:w="4508" w:type="dxa"/>
          </w:tcPr>
          <w:p w:rsidR="00656E9C" w:rsidRDefault="00656E9C" w:rsidP="005C0D94">
            <w:pPr>
              <w:jc w:val="both"/>
            </w:pPr>
            <w:r>
              <w:t>Social Services</w:t>
            </w:r>
          </w:p>
        </w:tc>
        <w:tc>
          <w:tcPr>
            <w:tcW w:w="4508" w:type="dxa"/>
          </w:tcPr>
          <w:p w:rsidR="00656E9C" w:rsidRDefault="00656E9C" w:rsidP="005C0D94">
            <w:pPr>
              <w:jc w:val="both"/>
            </w:pPr>
            <w:r>
              <w:t>Other</w:t>
            </w:r>
          </w:p>
        </w:tc>
      </w:tr>
    </w:tbl>
    <w:p w:rsidR="00656E9C" w:rsidRDefault="00656E9C" w:rsidP="005C0D94">
      <w:pPr>
        <w:spacing w:after="0" w:line="240" w:lineRule="auto"/>
        <w:jc w:val="both"/>
      </w:pPr>
      <w:r>
        <w:t>Wherever this advice is sought, it will be in the best interests of the learner and parents and guardians will be kept fully informed.</w:t>
      </w:r>
    </w:p>
    <w:p w:rsidR="00656E9C" w:rsidRDefault="00656E9C" w:rsidP="00656E9C">
      <w:pPr>
        <w:spacing w:after="0"/>
        <w:jc w:val="both"/>
      </w:pPr>
    </w:p>
    <w:p w:rsidR="00656E9C" w:rsidRDefault="00656E9C" w:rsidP="00656E9C">
      <w:pPr>
        <w:spacing w:after="0"/>
        <w:jc w:val="both"/>
        <w:rPr>
          <w:b/>
          <w:sz w:val="28"/>
          <w:szCs w:val="28"/>
        </w:rPr>
      </w:pPr>
      <w:r>
        <w:rPr>
          <w:b/>
          <w:sz w:val="28"/>
          <w:szCs w:val="28"/>
        </w:rPr>
        <w:t>Attendance</w:t>
      </w:r>
    </w:p>
    <w:p w:rsidR="00656E9C" w:rsidRDefault="00656E9C" w:rsidP="00656E9C">
      <w:pPr>
        <w:spacing w:after="0"/>
        <w:jc w:val="both"/>
      </w:pPr>
      <w:r>
        <w:t>The hours of attendance are 9:30am – 2:30pm. Learners will be signed in from 9:30am. Once learners arrive at the centre they will be signed in. All attendance and punctuality information will be passed on to the relevant referring school by 10am. Any learner who has not arrived by that time will receive an absent mark on their school register.  Centre staff will make phone calls to parents and guardians of any learner who does not arrive by 9.45am.</w:t>
      </w:r>
    </w:p>
    <w:p w:rsidR="00656E9C" w:rsidRDefault="00656E9C" w:rsidP="00656E9C">
      <w:pPr>
        <w:spacing w:after="0"/>
        <w:jc w:val="both"/>
      </w:pPr>
    </w:p>
    <w:p w:rsidR="00656E9C" w:rsidRDefault="00656E9C" w:rsidP="00656E9C">
      <w:pPr>
        <w:spacing w:after="0"/>
        <w:jc w:val="both"/>
      </w:pPr>
      <w:r>
        <w:t>Parents and guardians are expected to notify the centre if their child is to be absent from provision.</w:t>
      </w:r>
    </w:p>
    <w:p w:rsidR="0000757E" w:rsidRDefault="0000757E" w:rsidP="00656E9C">
      <w:pPr>
        <w:spacing w:after="0"/>
        <w:jc w:val="both"/>
      </w:pPr>
    </w:p>
    <w:p w:rsidR="005838D9" w:rsidRDefault="005838D9" w:rsidP="00656E9C">
      <w:pPr>
        <w:spacing w:after="0"/>
        <w:jc w:val="both"/>
      </w:pPr>
    </w:p>
    <w:p w:rsidR="00656E9C" w:rsidRDefault="00656E9C" w:rsidP="00656E9C">
      <w:pPr>
        <w:spacing w:after="0"/>
        <w:jc w:val="both"/>
        <w:rPr>
          <w:b/>
          <w:sz w:val="28"/>
          <w:szCs w:val="28"/>
        </w:rPr>
      </w:pPr>
      <w:r>
        <w:rPr>
          <w:b/>
          <w:sz w:val="28"/>
          <w:szCs w:val="28"/>
        </w:rPr>
        <w:t>Behaviour Sanctions</w:t>
      </w:r>
    </w:p>
    <w:p w:rsidR="00656E9C" w:rsidRDefault="00656E9C" w:rsidP="00656E9C">
      <w:pPr>
        <w:spacing w:after="0"/>
        <w:jc w:val="both"/>
      </w:pPr>
      <w:r>
        <w:t>All the sanctions that would normally be associated with a school are available for staff to use when learners display poor and disruptive behaviour. These include:</w:t>
      </w:r>
    </w:p>
    <w:p w:rsidR="00656E9C" w:rsidRDefault="00656E9C" w:rsidP="00656E9C">
      <w:pPr>
        <w:pStyle w:val="ListParagraph"/>
        <w:numPr>
          <w:ilvl w:val="0"/>
          <w:numId w:val="4"/>
        </w:numPr>
        <w:spacing w:after="0"/>
        <w:jc w:val="both"/>
      </w:pPr>
      <w:r>
        <w:t>Time out from the class</w:t>
      </w:r>
    </w:p>
    <w:p w:rsidR="00656E9C" w:rsidRDefault="00656E9C" w:rsidP="00656E9C">
      <w:pPr>
        <w:pStyle w:val="ListParagraph"/>
        <w:numPr>
          <w:ilvl w:val="0"/>
          <w:numId w:val="4"/>
        </w:numPr>
        <w:spacing w:after="0"/>
        <w:jc w:val="both"/>
      </w:pPr>
      <w:r>
        <w:t xml:space="preserve">A determined time of Isolation </w:t>
      </w:r>
    </w:p>
    <w:p w:rsidR="00656E9C" w:rsidRDefault="00656E9C" w:rsidP="00656E9C">
      <w:pPr>
        <w:pStyle w:val="ListParagraph"/>
        <w:numPr>
          <w:ilvl w:val="0"/>
          <w:numId w:val="4"/>
        </w:numPr>
        <w:spacing w:after="0"/>
        <w:jc w:val="both"/>
      </w:pPr>
      <w:r>
        <w:t>Detentions (up to 2hrs)</w:t>
      </w:r>
    </w:p>
    <w:p w:rsidR="00656E9C" w:rsidRDefault="00656E9C" w:rsidP="00656E9C">
      <w:pPr>
        <w:pStyle w:val="ListParagraph"/>
        <w:numPr>
          <w:ilvl w:val="0"/>
          <w:numId w:val="4"/>
        </w:numPr>
        <w:spacing w:after="0"/>
        <w:jc w:val="both"/>
      </w:pPr>
      <w:r>
        <w:t>Exclusion from outbound activities and trips</w:t>
      </w:r>
    </w:p>
    <w:p w:rsidR="00656E9C" w:rsidRDefault="00656E9C" w:rsidP="00656E9C">
      <w:pPr>
        <w:pStyle w:val="ListParagraph"/>
        <w:numPr>
          <w:ilvl w:val="0"/>
          <w:numId w:val="4"/>
        </w:numPr>
        <w:spacing w:after="0"/>
        <w:jc w:val="both"/>
      </w:pPr>
      <w:r>
        <w:t>Exclusion from access to the Games or Couch room</w:t>
      </w:r>
    </w:p>
    <w:p w:rsidR="00656E9C" w:rsidRDefault="00656E9C" w:rsidP="00656E9C">
      <w:pPr>
        <w:pStyle w:val="ListParagraph"/>
        <w:numPr>
          <w:ilvl w:val="0"/>
          <w:numId w:val="4"/>
        </w:numPr>
        <w:spacing w:after="0"/>
        <w:jc w:val="both"/>
      </w:pPr>
      <w:r>
        <w:t>Immediate parent / guardian call in</w:t>
      </w:r>
    </w:p>
    <w:p w:rsidR="00656E9C" w:rsidRDefault="00656E9C" w:rsidP="00656E9C">
      <w:pPr>
        <w:pStyle w:val="ListParagraph"/>
        <w:numPr>
          <w:ilvl w:val="0"/>
          <w:numId w:val="12"/>
        </w:numPr>
        <w:spacing w:after="0" w:line="240" w:lineRule="auto"/>
        <w:contextualSpacing w:val="0"/>
      </w:pPr>
      <w:r>
        <w:t>Alternative Seclusion Timetable from 12pm – 4pm</w:t>
      </w:r>
    </w:p>
    <w:p w:rsidR="00656E9C" w:rsidRDefault="00656E9C" w:rsidP="00656E9C">
      <w:pPr>
        <w:pStyle w:val="ListParagraph"/>
        <w:numPr>
          <w:ilvl w:val="0"/>
          <w:numId w:val="12"/>
        </w:numPr>
        <w:spacing w:after="0" w:line="240" w:lineRule="auto"/>
        <w:contextualSpacing w:val="0"/>
      </w:pPr>
      <w:r>
        <w:t>Placements will only be ended early if there is a very serious breach of the behaviour policy which is available upon request. These reasons are listed below</w:t>
      </w:r>
      <w:r w:rsidR="00094B00">
        <w:t xml:space="preserve">. After </w:t>
      </w:r>
      <w:r>
        <w:t>investigation</w:t>
      </w:r>
      <w:r w:rsidR="00094B00">
        <w:t xml:space="preserve"> of an incident</w:t>
      </w:r>
      <w:r>
        <w:t>, a decision will be made as to whether the placement will be ended. A minimum of 24 hours’ notice will be given if this is the case.</w:t>
      </w:r>
    </w:p>
    <w:p w:rsidR="00094B00" w:rsidRDefault="00094B00" w:rsidP="00094B00">
      <w:pPr>
        <w:spacing w:after="0" w:line="240" w:lineRule="auto"/>
      </w:pPr>
    </w:p>
    <w:p w:rsidR="00656E9C" w:rsidRDefault="00656E9C" w:rsidP="00656E9C">
      <w:pPr>
        <w:pStyle w:val="ListParagraph"/>
        <w:numPr>
          <w:ilvl w:val="1"/>
          <w:numId w:val="12"/>
        </w:numPr>
        <w:spacing w:after="0" w:line="240" w:lineRule="auto"/>
        <w:contextualSpacing w:val="0"/>
      </w:pPr>
      <w:r>
        <w:t>Causing deliberate, severe harm to another student or member of staff</w:t>
      </w:r>
    </w:p>
    <w:p w:rsidR="00656E9C" w:rsidRDefault="00656E9C" w:rsidP="00656E9C">
      <w:pPr>
        <w:pStyle w:val="ListParagraph"/>
        <w:numPr>
          <w:ilvl w:val="1"/>
          <w:numId w:val="12"/>
        </w:numPr>
        <w:spacing w:after="0" w:line="240" w:lineRule="auto"/>
        <w:contextualSpacing w:val="0"/>
      </w:pPr>
      <w:r>
        <w:t>Serious criminal and or deliberate damage to our building or property</w:t>
      </w:r>
    </w:p>
    <w:p w:rsidR="00656E9C" w:rsidRDefault="00656E9C" w:rsidP="00656E9C">
      <w:pPr>
        <w:pStyle w:val="ListParagraph"/>
        <w:numPr>
          <w:ilvl w:val="1"/>
          <w:numId w:val="12"/>
        </w:numPr>
        <w:spacing w:after="0" w:line="240" w:lineRule="auto"/>
        <w:contextualSpacing w:val="0"/>
      </w:pPr>
      <w:r>
        <w:t>Possession with intent of a weapon or object that could be used to cause harm</w:t>
      </w:r>
    </w:p>
    <w:p w:rsidR="00656E9C" w:rsidRDefault="00656E9C" w:rsidP="00656E9C">
      <w:pPr>
        <w:pStyle w:val="ListParagraph"/>
        <w:numPr>
          <w:ilvl w:val="1"/>
          <w:numId w:val="12"/>
        </w:numPr>
        <w:spacing w:after="0" w:line="240" w:lineRule="auto"/>
        <w:contextualSpacing w:val="0"/>
      </w:pPr>
      <w:r>
        <w:t>Proven malicious allegation against a member of staff</w:t>
      </w:r>
    </w:p>
    <w:p w:rsidR="00656E9C" w:rsidRDefault="00656E9C" w:rsidP="00656E9C">
      <w:pPr>
        <w:pStyle w:val="ListParagraph"/>
        <w:numPr>
          <w:ilvl w:val="1"/>
          <w:numId w:val="12"/>
        </w:numPr>
        <w:spacing w:after="0" w:line="240" w:lineRule="auto"/>
        <w:contextualSpacing w:val="0"/>
      </w:pPr>
      <w:r>
        <w:t xml:space="preserve">Use of a weapon or dangerous object to cause harm to another student or member of staff. </w:t>
      </w:r>
    </w:p>
    <w:p w:rsidR="00094B00" w:rsidRPr="000260D2" w:rsidRDefault="00094B00" w:rsidP="00094B00">
      <w:pPr>
        <w:pStyle w:val="ListParagraph"/>
        <w:spacing w:after="0" w:line="240" w:lineRule="auto"/>
        <w:contextualSpacing w:val="0"/>
      </w:pPr>
    </w:p>
    <w:p w:rsidR="00656E9C" w:rsidRPr="00656E9C" w:rsidRDefault="00656E9C" w:rsidP="00A07307">
      <w:pPr>
        <w:pStyle w:val="ListParagraph"/>
        <w:numPr>
          <w:ilvl w:val="0"/>
          <w:numId w:val="12"/>
        </w:numPr>
        <w:spacing w:after="0" w:line="240" w:lineRule="auto"/>
        <w:contextualSpacing w:val="0"/>
        <w:sectPr w:rsidR="00656E9C" w:rsidRPr="00656E9C" w:rsidSect="00853009">
          <w:pgSz w:w="11906" w:h="16838"/>
          <w:pgMar w:top="720" w:right="720" w:bottom="720" w:left="720" w:header="709" w:footer="709" w:gutter="0"/>
          <w:cols w:space="708"/>
          <w:docGrid w:linePitch="360"/>
        </w:sectPr>
      </w:pPr>
      <w:r>
        <w:t xml:space="preserve">Placements might also be ended if there is a serious lack of engagement from a student. If a lack of engagement is identified a parental meeting will be called for and an intervention plan drawn up with possible multi-agency support. In these cases review meetings will take place </w:t>
      </w:r>
      <w:r w:rsidR="00094B00">
        <w:t>on a regular basis</w:t>
      </w:r>
      <w:r>
        <w:t xml:space="preserve"> and the school will kept fully informed and receive copies of all the documentation. If there is still no positive engagement a dialogue will take place with the partner school before a decision is reached to end the placement. In these cases a week’s notice will be given.</w:t>
      </w:r>
    </w:p>
    <w:p w:rsidR="00656E9C" w:rsidRDefault="00656E9C" w:rsidP="00C11089">
      <w:pPr>
        <w:spacing w:after="0"/>
        <w:jc w:val="both"/>
        <w:sectPr w:rsidR="00656E9C" w:rsidSect="00853009">
          <w:headerReference w:type="default" r:id="rId7"/>
          <w:footerReference w:type="default" r:id="rId8"/>
          <w:pgSz w:w="11906" w:h="16838"/>
          <w:pgMar w:top="720" w:right="720" w:bottom="720" w:left="720" w:header="709" w:footer="709" w:gutter="0"/>
          <w:cols w:space="708"/>
          <w:docGrid w:linePitch="360"/>
        </w:sectPr>
      </w:pPr>
    </w:p>
    <w:p w:rsidR="00656E9C" w:rsidRPr="000260D2" w:rsidRDefault="00656E9C" w:rsidP="00656E9C">
      <w:pPr>
        <w:spacing w:after="0" w:line="240" w:lineRule="auto"/>
      </w:pPr>
    </w:p>
    <w:p w:rsidR="00005BC7" w:rsidRDefault="00005BC7" w:rsidP="00C26521">
      <w:pPr>
        <w:pStyle w:val="ListParagraph"/>
        <w:spacing w:after="0"/>
        <w:jc w:val="both"/>
      </w:pPr>
    </w:p>
    <w:p w:rsidR="00005BC7" w:rsidRDefault="00005BC7" w:rsidP="00C26521">
      <w:pPr>
        <w:pStyle w:val="ListParagraph"/>
        <w:spacing w:after="0"/>
        <w:jc w:val="both"/>
      </w:pPr>
    </w:p>
    <w:p w:rsidR="00005BC7" w:rsidRDefault="00005BC7" w:rsidP="00C26521">
      <w:pPr>
        <w:pStyle w:val="ListParagraph"/>
        <w:spacing w:after="0"/>
        <w:jc w:val="both"/>
      </w:pPr>
    </w:p>
    <w:p w:rsidR="00005BC7" w:rsidRDefault="00005BC7" w:rsidP="00C26521">
      <w:pPr>
        <w:pStyle w:val="ListParagraph"/>
        <w:spacing w:after="0"/>
        <w:jc w:val="both"/>
      </w:pPr>
    </w:p>
    <w:p w:rsidR="00005BC7" w:rsidRDefault="00005BC7" w:rsidP="00C26521">
      <w:pPr>
        <w:pStyle w:val="ListParagraph"/>
        <w:spacing w:after="0"/>
        <w:jc w:val="both"/>
      </w:pPr>
    </w:p>
    <w:p w:rsidR="002F7FE8" w:rsidRDefault="002F7FE8" w:rsidP="00C26521">
      <w:pPr>
        <w:pStyle w:val="ListParagraph"/>
        <w:spacing w:after="0"/>
        <w:jc w:val="both"/>
        <w:rPr>
          <w:b/>
          <w:sz w:val="28"/>
          <w:szCs w:val="28"/>
        </w:rPr>
      </w:pPr>
    </w:p>
    <w:p w:rsidR="00F74493" w:rsidRDefault="00F74493"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4B4706" w:rsidRDefault="004B4706" w:rsidP="002F7FE8">
      <w:pPr>
        <w:pStyle w:val="ListParagraph"/>
        <w:spacing w:after="0"/>
        <w:jc w:val="both"/>
        <w:rPr>
          <w:b/>
          <w:sz w:val="36"/>
          <w:szCs w:val="36"/>
        </w:rPr>
      </w:pPr>
    </w:p>
    <w:p w:rsidR="002433A1" w:rsidRDefault="002433A1" w:rsidP="002F7FE8">
      <w:pPr>
        <w:pStyle w:val="ListParagraph"/>
        <w:spacing w:after="0"/>
        <w:jc w:val="both"/>
        <w:rPr>
          <w:b/>
          <w:sz w:val="36"/>
          <w:szCs w:val="36"/>
        </w:rPr>
      </w:pPr>
    </w:p>
    <w:p w:rsidR="002433A1" w:rsidRDefault="002433A1" w:rsidP="002F7FE8">
      <w:pPr>
        <w:pStyle w:val="ListParagraph"/>
        <w:spacing w:after="0"/>
        <w:jc w:val="both"/>
        <w:rPr>
          <w:b/>
          <w:sz w:val="36"/>
          <w:szCs w:val="36"/>
        </w:rPr>
      </w:pPr>
    </w:p>
    <w:p w:rsidR="00F74493" w:rsidRDefault="00F74493" w:rsidP="002F7FE8">
      <w:pPr>
        <w:pStyle w:val="ListParagraph"/>
        <w:spacing w:after="0"/>
        <w:jc w:val="both"/>
        <w:rPr>
          <w:b/>
          <w:sz w:val="36"/>
          <w:szCs w:val="36"/>
        </w:rPr>
      </w:pPr>
    </w:p>
    <w:p w:rsidR="007807CC" w:rsidRDefault="007807CC" w:rsidP="00C26521">
      <w:pPr>
        <w:pStyle w:val="ListParagraph"/>
        <w:spacing w:after="0"/>
        <w:jc w:val="both"/>
        <w:rPr>
          <w:b/>
          <w:sz w:val="28"/>
          <w:szCs w:val="28"/>
        </w:rPr>
      </w:pPr>
    </w:p>
    <w:p w:rsidR="007807CC" w:rsidRDefault="007807CC" w:rsidP="00C26521">
      <w:pPr>
        <w:pStyle w:val="ListParagraph"/>
        <w:spacing w:after="0"/>
        <w:jc w:val="both"/>
        <w:rPr>
          <w:b/>
          <w:sz w:val="28"/>
          <w:szCs w:val="28"/>
        </w:rPr>
      </w:pPr>
    </w:p>
    <w:p w:rsidR="007807CC" w:rsidRPr="002F7FE8" w:rsidRDefault="007807CC" w:rsidP="00C26521">
      <w:pPr>
        <w:pStyle w:val="ListParagraph"/>
        <w:spacing w:after="0"/>
        <w:jc w:val="both"/>
        <w:rPr>
          <w:b/>
          <w:sz w:val="28"/>
          <w:szCs w:val="28"/>
        </w:rPr>
      </w:pPr>
    </w:p>
    <w:p w:rsidR="00005BC7" w:rsidRDefault="00005BC7" w:rsidP="00C26521">
      <w:pPr>
        <w:pStyle w:val="ListParagraph"/>
        <w:spacing w:after="0"/>
        <w:jc w:val="both"/>
      </w:pPr>
    </w:p>
    <w:p w:rsidR="00005BC7" w:rsidRDefault="00005BC7" w:rsidP="00C26521">
      <w:pPr>
        <w:pStyle w:val="ListParagraph"/>
        <w:spacing w:after="0"/>
        <w:jc w:val="both"/>
      </w:pPr>
    </w:p>
    <w:p w:rsidR="00A2194A" w:rsidRPr="001F62A4" w:rsidRDefault="00A2194A" w:rsidP="00C26521">
      <w:pPr>
        <w:pStyle w:val="ListParagraph"/>
        <w:spacing w:after="0"/>
        <w:jc w:val="both"/>
      </w:pPr>
    </w:p>
    <w:p w:rsidR="00AF47B4" w:rsidRDefault="00AF47B4" w:rsidP="00C26521">
      <w:pPr>
        <w:spacing w:after="0"/>
        <w:jc w:val="both"/>
      </w:pPr>
    </w:p>
    <w:p w:rsidR="00AF47B4" w:rsidRPr="00BB4642" w:rsidRDefault="00AF47B4" w:rsidP="00C26521">
      <w:pPr>
        <w:tabs>
          <w:tab w:val="left" w:pos="1454"/>
        </w:tabs>
        <w:spacing w:after="0"/>
        <w:jc w:val="both"/>
        <w:rPr>
          <w:b/>
        </w:rPr>
      </w:pPr>
    </w:p>
    <w:p w:rsidR="00FA4A50" w:rsidRPr="00162728" w:rsidRDefault="00FA4A50" w:rsidP="00C26521">
      <w:pPr>
        <w:spacing w:after="0"/>
        <w:jc w:val="both"/>
      </w:pPr>
    </w:p>
    <w:sectPr w:rsidR="00FA4A50" w:rsidRPr="00162728" w:rsidSect="0085300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04" w:rsidRDefault="00BF6004" w:rsidP="00F40F7C">
      <w:pPr>
        <w:spacing w:after="0" w:line="240" w:lineRule="auto"/>
      </w:pPr>
      <w:r>
        <w:separator/>
      </w:r>
    </w:p>
  </w:endnote>
  <w:endnote w:type="continuationSeparator" w:id="0">
    <w:p w:rsidR="00BF6004" w:rsidRDefault="00BF6004" w:rsidP="00F4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14E" w:rsidRDefault="0027714E">
    <w:pPr>
      <w:pStyle w:val="Footer"/>
    </w:pPr>
    <w:r>
      <w:ptab w:relativeTo="margin" w:alignment="center" w:leader="none"/>
    </w:r>
    <w:r w:rsidRPr="0027714E">
      <w:rPr>
        <w:rFonts w:ascii="Arial" w:hAnsi="Arial" w:cs="Arial"/>
        <w:i/>
      </w:rPr>
      <w:t>‘Bringing out the best’</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04" w:rsidRDefault="00BF6004" w:rsidP="00F40F7C">
      <w:pPr>
        <w:spacing w:after="0" w:line="240" w:lineRule="auto"/>
      </w:pPr>
      <w:r>
        <w:separator/>
      </w:r>
    </w:p>
  </w:footnote>
  <w:footnote w:type="continuationSeparator" w:id="0">
    <w:p w:rsidR="00BF6004" w:rsidRDefault="00BF6004" w:rsidP="00F4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DE" w:rsidRDefault="001D44DE">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7D54"/>
    <w:multiLevelType w:val="hybridMultilevel"/>
    <w:tmpl w:val="9DA2C024"/>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074576"/>
    <w:multiLevelType w:val="hybridMultilevel"/>
    <w:tmpl w:val="6F9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849C9"/>
    <w:multiLevelType w:val="hybridMultilevel"/>
    <w:tmpl w:val="C686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5553B"/>
    <w:multiLevelType w:val="hybridMultilevel"/>
    <w:tmpl w:val="16D0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A729A"/>
    <w:multiLevelType w:val="multilevel"/>
    <w:tmpl w:val="49246116"/>
    <w:lvl w:ilvl="0">
      <w:start w:val="1"/>
      <w:numFmt w:val="bullet"/>
      <w:lvlText w:val=""/>
      <w:lvlJc w:val="left"/>
      <w:pPr>
        <w:tabs>
          <w:tab w:val="num" w:pos="720"/>
        </w:tabs>
        <w:ind w:left="720" w:hanging="360"/>
      </w:pPr>
      <w:rPr>
        <w:rFonts w:ascii="Symbol" w:hAnsi="Symbol" w:hint="default"/>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A31228B"/>
    <w:multiLevelType w:val="multilevel"/>
    <w:tmpl w:val="AA0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C235F"/>
    <w:multiLevelType w:val="hybridMultilevel"/>
    <w:tmpl w:val="3FEA46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C561A9"/>
    <w:multiLevelType w:val="multilevel"/>
    <w:tmpl w:val="C1C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A13DD"/>
    <w:multiLevelType w:val="hybridMultilevel"/>
    <w:tmpl w:val="968A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43808"/>
    <w:multiLevelType w:val="multilevel"/>
    <w:tmpl w:val="7EE208FA"/>
    <w:lvl w:ilvl="0">
      <w:start w:val="1"/>
      <w:numFmt w:val="bullet"/>
      <w:lvlText w:val=""/>
      <w:lvlJc w:val="left"/>
      <w:pPr>
        <w:tabs>
          <w:tab w:val="num" w:pos="720"/>
        </w:tabs>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2B25E81"/>
    <w:multiLevelType w:val="hybridMultilevel"/>
    <w:tmpl w:val="C634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60216"/>
    <w:multiLevelType w:val="hybridMultilevel"/>
    <w:tmpl w:val="7FA6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03B97"/>
    <w:multiLevelType w:val="hybridMultilevel"/>
    <w:tmpl w:val="9288D73C"/>
    <w:lvl w:ilvl="0" w:tplc="08090013">
      <w:start w:val="1"/>
      <w:numFmt w:val="upp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53621A9E"/>
    <w:multiLevelType w:val="hybridMultilevel"/>
    <w:tmpl w:val="71F8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3B253A"/>
    <w:multiLevelType w:val="hybridMultilevel"/>
    <w:tmpl w:val="A0DA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65640"/>
    <w:multiLevelType w:val="hybridMultilevel"/>
    <w:tmpl w:val="2938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87CF4"/>
    <w:multiLevelType w:val="hybridMultilevel"/>
    <w:tmpl w:val="F72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
  </w:num>
  <w:num w:numId="4">
    <w:abstractNumId w:val="10"/>
  </w:num>
  <w:num w:numId="5">
    <w:abstractNumId w:val="8"/>
  </w:num>
  <w:num w:numId="6">
    <w:abstractNumId w:val="2"/>
  </w:num>
  <w:num w:numId="7">
    <w:abstractNumId w:val="9"/>
  </w:num>
  <w:num w:numId="8">
    <w:abstractNumId w:val="12"/>
  </w:num>
  <w:num w:numId="9">
    <w:abstractNumId w:val="6"/>
  </w:num>
  <w:num w:numId="10">
    <w:abstractNumId w:val="0"/>
  </w:num>
  <w:num w:numId="11">
    <w:abstractNumId w:val="4"/>
  </w:num>
  <w:num w:numId="12">
    <w:abstractNumId w:val="13"/>
  </w:num>
  <w:num w:numId="13">
    <w:abstractNumId w:val="3"/>
  </w:num>
  <w:num w:numId="14">
    <w:abstractNumId w:val="5"/>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FD"/>
    <w:rsid w:val="00005797"/>
    <w:rsid w:val="00005BC7"/>
    <w:rsid w:val="0000616F"/>
    <w:rsid w:val="0000757E"/>
    <w:rsid w:val="0001441E"/>
    <w:rsid w:val="00021AB0"/>
    <w:rsid w:val="000260D2"/>
    <w:rsid w:val="000713BB"/>
    <w:rsid w:val="00071BA4"/>
    <w:rsid w:val="00083BDA"/>
    <w:rsid w:val="000921FD"/>
    <w:rsid w:val="00094B00"/>
    <w:rsid w:val="000B1783"/>
    <w:rsid w:val="000B7E03"/>
    <w:rsid w:val="000E04F6"/>
    <w:rsid w:val="00103116"/>
    <w:rsid w:val="0010372D"/>
    <w:rsid w:val="00121865"/>
    <w:rsid w:val="00162728"/>
    <w:rsid w:val="001B40C5"/>
    <w:rsid w:val="001C41B4"/>
    <w:rsid w:val="001D216B"/>
    <w:rsid w:val="001D44DE"/>
    <w:rsid w:val="001F62A4"/>
    <w:rsid w:val="00205F44"/>
    <w:rsid w:val="002264ED"/>
    <w:rsid w:val="002433A1"/>
    <w:rsid w:val="0024491A"/>
    <w:rsid w:val="00245B0A"/>
    <w:rsid w:val="0027714E"/>
    <w:rsid w:val="002F7FE8"/>
    <w:rsid w:val="003105B5"/>
    <w:rsid w:val="00330E48"/>
    <w:rsid w:val="003400E8"/>
    <w:rsid w:val="00343F9B"/>
    <w:rsid w:val="0034681B"/>
    <w:rsid w:val="003852DE"/>
    <w:rsid w:val="003A0A61"/>
    <w:rsid w:val="003B1E08"/>
    <w:rsid w:val="00404CBD"/>
    <w:rsid w:val="00466AC4"/>
    <w:rsid w:val="004856EE"/>
    <w:rsid w:val="004A38D3"/>
    <w:rsid w:val="004A65F4"/>
    <w:rsid w:val="004B3C4F"/>
    <w:rsid w:val="004B4706"/>
    <w:rsid w:val="004B56FE"/>
    <w:rsid w:val="004F6360"/>
    <w:rsid w:val="005149C5"/>
    <w:rsid w:val="005267E4"/>
    <w:rsid w:val="005322A6"/>
    <w:rsid w:val="00570762"/>
    <w:rsid w:val="005838D9"/>
    <w:rsid w:val="005C0D94"/>
    <w:rsid w:val="005D5722"/>
    <w:rsid w:val="005F3BAD"/>
    <w:rsid w:val="006058E6"/>
    <w:rsid w:val="006339C5"/>
    <w:rsid w:val="006465AD"/>
    <w:rsid w:val="006533DE"/>
    <w:rsid w:val="00656E9C"/>
    <w:rsid w:val="00682740"/>
    <w:rsid w:val="006A4E4F"/>
    <w:rsid w:val="006A4F67"/>
    <w:rsid w:val="006B13C8"/>
    <w:rsid w:val="006B6A06"/>
    <w:rsid w:val="006D12CC"/>
    <w:rsid w:val="006D1973"/>
    <w:rsid w:val="007008C7"/>
    <w:rsid w:val="00703A3A"/>
    <w:rsid w:val="00733F84"/>
    <w:rsid w:val="00743CA9"/>
    <w:rsid w:val="00750B00"/>
    <w:rsid w:val="00774788"/>
    <w:rsid w:val="007807CC"/>
    <w:rsid w:val="007A6B97"/>
    <w:rsid w:val="007B6B5F"/>
    <w:rsid w:val="007D4735"/>
    <w:rsid w:val="007E3806"/>
    <w:rsid w:val="00853009"/>
    <w:rsid w:val="00856786"/>
    <w:rsid w:val="0087015C"/>
    <w:rsid w:val="008855FD"/>
    <w:rsid w:val="00896634"/>
    <w:rsid w:val="008C27B9"/>
    <w:rsid w:val="008E1AED"/>
    <w:rsid w:val="008E59C3"/>
    <w:rsid w:val="00915F8C"/>
    <w:rsid w:val="00932839"/>
    <w:rsid w:val="00967569"/>
    <w:rsid w:val="00967FC8"/>
    <w:rsid w:val="00980032"/>
    <w:rsid w:val="009A1F29"/>
    <w:rsid w:val="009D3405"/>
    <w:rsid w:val="00A07307"/>
    <w:rsid w:val="00A2194A"/>
    <w:rsid w:val="00AB4891"/>
    <w:rsid w:val="00AF47B4"/>
    <w:rsid w:val="00B12C0B"/>
    <w:rsid w:val="00B21212"/>
    <w:rsid w:val="00B270B6"/>
    <w:rsid w:val="00B75054"/>
    <w:rsid w:val="00BB4642"/>
    <w:rsid w:val="00BC3F56"/>
    <w:rsid w:val="00BF6004"/>
    <w:rsid w:val="00C0137E"/>
    <w:rsid w:val="00C11089"/>
    <w:rsid w:val="00C152EC"/>
    <w:rsid w:val="00C26521"/>
    <w:rsid w:val="00C30E8E"/>
    <w:rsid w:val="00C639C0"/>
    <w:rsid w:val="00C63CA1"/>
    <w:rsid w:val="00C64B28"/>
    <w:rsid w:val="00C95615"/>
    <w:rsid w:val="00CC236C"/>
    <w:rsid w:val="00D0610D"/>
    <w:rsid w:val="00D109D3"/>
    <w:rsid w:val="00D14A25"/>
    <w:rsid w:val="00D357F4"/>
    <w:rsid w:val="00D4753B"/>
    <w:rsid w:val="00D66766"/>
    <w:rsid w:val="00D72192"/>
    <w:rsid w:val="00DB1BBB"/>
    <w:rsid w:val="00DB6F9D"/>
    <w:rsid w:val="00DE6C43"/>
    <w:rsid w:val="00E238CC"/>
    <w:rsid w:val="00E4520A"/>
    <w:rsid w:val="00E51188"/>
    <w:rsid w:val="00E534FB"/>
    <w:rsid w:val="00E71125"/>
    <w:rsid w:val="00E93727"/>
    <w:rsid w:val="00E94BA6"/>
    <w:rsid w:val="00EB0DA6"/>
    <w:rsid w:val="00EF2CCF"/>
    <w:rsid w:val="00F02F91"/>
    <w:rsid w:val="00F32CDF"/>
    <w:rsid w:val="00F337CE"/>
    <w:rsid w:val="00F40F7C"/>
    <w:rsid w:val="00F42E51"/>
    <w:rsid w:val="00F5009F"/>
    <w:rsid w:val="00F52F7E"/>
    <w:rsid w:val="00F66174"/>
    <w:rsid w:val="00F66443"/>
    <w:rsid w:val="00F74493"/>
    <w:rsid w:val="00F75EEA"/>
    <w:rsid w:val="00FA4A50"/>
    <w:rsid w:val="00FC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C1451-1653-46A1-9100-58E4BDA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97"/>
    <w:pPr>
      <w:ind w:left="720"/>
      <w:contextualSpacing/>
    </w:pPr>
  </w:style>
  <w:style w:type="table" w:styleId="TableGrid">
    <w:name w:val="Table Grid"/>
    <w:basedOn w:val="TableNormal"/>
    <w:uiPriority w:val="39"/>
    <w:rsid w:val="0085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C3F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40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F7C"/>
  </w:style>
  <w:style w:type="paragraph" w:styleId="Footer">
    <w:name w:val="footer"/>
    <w:basedOn w:val="Normal"/>
    <w:link w:val="FooterChar"/>
    <w:uiPriority w:val="99"/>
    <w:unhideWhenUsed/>
    <w:rsid w:val="00F40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F7C"/>
  </w:style>
  <w:style w:type="table" w:styleId="GridTable5Dark-Accent6">
    <w:name w:val="Grid Table 5 Dark Accent 6"/>
    <w:basedOn w:val="TableNormal"/>
    <w:uiPriority w:val="50"/>
    <w:rsid w:val="00C639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onText">
    <w:name w:val="Balloon Text"/>
    <w:basedOn w:val="Normal"/>
    <w:link w:val="BalloonTextChar"/>
    <w:uiPriority w:val="99"/>
    <w:semiHidden/>
    <w:unhideWhenUsed/>
    <w:rsid w:val="004F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5082">
      <w:bodyDiv w:val="1"/>
      <w:marLeft w:val="0"/>
      <w:marRight w:val="0"/>
      <w:marTop w:val="0"/>
      <w:marBottom w:val="0"/>
      <w:divBdr>
        <w:top w:val="none" w:sz="0" w:space="0" w:color="auto"/>
        <w:left w:val="none" w:sz="0" w:space="0" w:color="auto"/>
        <w:bottom w:val="none" w:sz="0" w:space="0" w:color="auto"/>
        <w:right w:val="none" w:sz="0" w:space="0" w:color="auto"/>
      </w:divBdr>
    </w:div>
    <w:div w:id="13623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Ormiston Bolingbroke Academy</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Garnett</dc:creator>
  <cp:keywords/>
  <dc:description/>
  <cp:lastModifiedBy>STEVEN DANIELS</cp:lastModifiedBy>
  <cp:revision>7</cp:revision>
  <cp:lastPrinted>2019-11-18T09:15:00Z</cp:lastPrinted>
  <dcterms:created xsi:type="dcterms:W3CDTF">2020-03-18T09:44:00Z</dcterms:created>
  <dcterms:modified xsi:type="dcterms:W3CDTF">2020-05-27T14:36:00Z</dcterms:modified>
</cp:coreProperties>
</file>